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ROM.3.d — Staff well-being</w:t>
      </w:r>
    </w:p>
    <w:p>
      <w:r>
        <w:rPr>
          <w:b/>
          <w:sz w:val="30"/>
        </w:rPr>
        <w:t>ROM.3 Record 9 — Staff well-being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work-hour monitoring method for staff.” — the specific evidence element Staff well-being of this policy asks for. Every time this happens for real, whoever is responsible adds one new row below with: Date, Well-being Measure, Details, Uptake/Result.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HR/Nursing Superintendent uses this record whenever staff well-being is monitored or a workload concern is actually raised. The worked example below shows a real entry: on 10-Jan-2026, well-being measure was “Scheduled breaks + healthy-lifestyle programme”, details was “30-minute mandatory break per 8-hour shift; monthly wellness talk” — so uptake/result was “Break compliance monitored at 94% this month”.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burnout builds up quietly until it shows up as errors or turnover — this record proves the hospital is actually monitoring workload and actually giving staff a real channel to raise concerns, not just claiming to care.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this measure was recorded/reviewed.</w:t>
      </w:r>
    </w:p>
    <w:p>
      <w:pPr>
        <w:pStyle w:val="ListParagraph"/>
      </w:pPr>
      <w:r>
        <w:rPr>
          <w:b/>
        </w:rPr>
        <w:t xml:space="preserve">Well-being Measure: </w:t>
      </w:r>
      <w:r>
        <w:t>The actual measure in place — name it, don't write 'staff support.'</w:t>
      </w:r>
    </w:p>
    <w:p>
      <w:pPr>
        <w:pStyle w:val="ListParagraph"/>
      </w:pPr>
      <w:r>
        <w:rPr>
          <w:b/>
        </w:rPr>
        <w:t xml:space="preserve">Details: </w:t>
      </w:r>
      <w:r>
        <w:t>The real detail of how it works.</w:t>
      </w:r>
    </w:p>
    <w:p>
      <w:pPr>
        <w:pStyle w:val="ListParagraph"/>
      </w:pPr>
      <w:r>
        <w:rPr>
          <w:b/>
        </w:rPr>
        <w:t xml:space="preserve">Uptake/Result: </w:t>
      </w:r>
      <w:r>
        <w:t>What actually happened as a result — uptake, compliance, or feedback.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Well-being Measure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Details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Uptake/Result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Scheduled breaks + healthy-lifestyle programme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30-minute mandatory break per 8-hour shift; monthly wellness talk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Break compliance monitored at 94% this month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