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ROM.3.d — Staff well-being</w:t>
      </w:r>
    </w:p>
    <w:p>
      <w:r>
        <w:rPr>
          <w:b/>
          <w:sz w:val="30"/>
        </w:rPr>
        <w:t>ROM.3 Record 11 — Staff well-being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of the channel for raising workload concerns and any concerns logged through it.” — the specific evidence element Staff well-being of this policy asks for. Every time this happens for real, whoever is responsible adds one new row below with: Date, Concern Raised, Raised Via, Action Taken.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HR/Nursing Superintendent uses this record whenever staff well-being is monitored or a workload concern is actually raised. The worked example below shows a real entry: on 20-Jan-2026, concern raised was “Nursing staff on night shift reported chronic understaffing”, raised via was “Staff well-being suggestion box” — so action taken was “Additional night-shift nurse added from 01-Feb-2026”.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burnout builds up quietly until it shows up as errors or turnover — this record proves the hospital is actually monitoring workload and actually giving staff a real channel to raise concerns, not just claiming to care.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concern was actually raised.</w:t>
      </w:r>
    </w:p>
    <w:p>
      <w:pPr>
        <w:pStyle w:val="ListParagraph"/>
      </w:pPr>
      <w:r>
        <w:rPr>
          <w:b/>
        </w:rPr>
        <w:t xml:space="preserve">Concern Raised: </w:t>
      </w:r>
      <w:r>
        <w:t>What was actually raised, specifically.</w:t>
      </w:r>
    </w:p>
    <w:p>
      <w:pPr>
        <w:pStyle w:val="ListParagraph"/>
      </w:pPr>
      <w:r>
        <w:rPr>
          <w:b/>
        </w:rPr>
        <w:t xml:space="preserve">Raised Via: </w:t>
      </w:r>
      <w:r>
        <w:t>Which channel it came through.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about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Concern Raised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Raised Via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staff on night shift reported chronic understaffing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Staff well-being suggestion box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Additional night-shift nurse added from 01-Feb-2026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