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Credentialing and Privileging of Para-Clinical Professionals Permitted to Provide Patient Care Without Supervision</w:t>
      </w:r>
    </w:p>
    <w:p>
      <w:pPr>
        <w:spacing w:after="240"/>
        <w:jc w:val="center"/>
      </w:pPr>
      <w:r>
        <w:rPr>
          <w:i/>
          <w:iCs/>
          <w:sz w:val="20"/>
          <w:szCs w:val="20"/>
        </w:rPr>
        <w:t xml:space="preserve">Credentialing and privileging para-clinical professionals for unsupervised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Para-clinical professionals — laboratory technicians, radiographers, physiotherapists, pharmacists and others — permitted to provide patient care without supervision are identified, credentialed, privileged and known to the departments they serve.</w:t>
      </w:r>
    </w:p>
    <w:p>
      <w:pPr>
        <w:pStyle w:val="Heading1"/>
        <w:spacing w:after="120" w:before="280"/>
      </w:pPr>
      <w:r>
        <w:t xml:space="preserve">1. Purpose</w:t>
      </w:r>
    </w:p>
    <w:p>
      <w:pPr>
        <w:spacing w:after="140"/>
      </w:pPr>
      <w:r>
        <w:rPr>
          <w:sz w:val="22"/>
          <w:szCs w:val="22"/>
        </w:rPr>
        <w:t xml:space="preserve">This policy describes how «Hospital Name» credentials and privileges para-clinical professionals who are permitted by law, regulation and the organisation to provide patient care without supervision.</w:t>
      </w:r>
    </w:p>
    <w:p>
      <w:pPr>
        <w:spacing w:after="140"/>
      </w:pPr>
      <w:r>
        <w:rPr>
          <w:sz w:val="22"/>
          <w:szCs w:val="22"/>
        </w:rPr>
        <w:t xml:space="preserve">It covers laboratory technicians, radiographers, physiotherapists, pharmacists and other allied health professionals whose statutory registration or council enrolment is required for independent practice. The four elements are: identifying those professionals; verifying and documenting their education, registration, training and experience with periodic updates; granting privileges consonant with qualification, training, experience and registration; and ensuring requisite services are known to the professionals and to departments/units.</w:t>
      </w:r>
    </w:p>
    <w:p>
      <w:pPr>
        <w:spacing w:after="140"/>
      </w:pPr>
      <w:r>
        <w:rPr>
          <w:sz w:val="22"/>
          <w:szCs w:val="22"/>
        </w:rPr>
        <w:t xml:space="preserve">Boundaries: HRM.6 owns the staff personal file. This policy owns the para-clinical credentialing and privileging process and register. HRM.7 owns medical credentialing; HRM.8 owns nursing credentialing. AAC.4.b and AAC.5.c use credentialing outcomes when assigning qualified laboratory and imaging personnel; they do not restate this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para-clinical professional at «Hospital Name» who provides patient care or patient-facing services without supervision — laboratory technicians, radiographers, physiotherapists, pharmacists, dieticians, respiratory therapists and other allied health staff whose role requires independent practice authority.</w:t>
      </w:r>
    </w:p>
    <w:p>
      <w:pPr>
        <w:spacing w:after="140"/>
      </w:pPr>
      <w:r>
        <w:rPr>
          <w:sz w:val="22"/>
          <w:szCs w:val="22"/>
        </w:rPr>
        <w:t xml:space="preserve">It covers the four elements HRM.9.a–d. It does not cover medical credentialing (HRM.7), nursing credentialing (HRM.8), personal files (HRM.6), or department-specific technical SOPs (AAC.4, AAC.5, AAC.6, MOM).</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HRM.6 owns the personal file. This policy owns the para-clinical credentialing file, privileging register and privilege letter.</w:t>
      </w:r>
    </w:p>
    <w:p>
      <w:pPr>
        <w:pStyle w:val="ListParagraph"/>
        <w:numPr>
          <w:ilvl w:val="0"/>
          <w:numId w:val="1"/>
        </w:numPr>
        <w:spacing w:after="60"/>
      </w:pPr>
      <w:r>
        <w:rPr>
          <w:sz w:val="22"/>
          <w:szCs w:val="22"/>
        </w:rPr>
        <w:t xml:space="preserve">HRM.7 owns medical credentialing; HRM.8 owns nursing credentialing. This policy is specific to para-clinical professionals.</w:t>
      </w:r>
    </w:p>
    <w:p>
      <w:pPr>
        <w:pStyle w:val="ListParagraph"/>
        <w:numPr>
          <w:ilvl w:val="0"/>
          <w:numId w:val="1"/>
        </w:numPr>
        <w:spacing w:after="60"/>
      </w:pPr>
      <w:r>
        <w:rPr>
          <w:sz w:val="22"/>
          <w:szCs w:val="22"/>
        </w:rPr>
        <w:t xml:space="preserve">MOM.4 owns authorised medication prescribers (doctors). MOM.8 owns safe handling of narcotics and cytotoxics. This policy credentials the pharmacist; those policies govern what the pharmacist may dispense or handle.</w:t>
      </w:r>
    </w:p>
    <w:p>
      <w:pPr>
        <w:pStyle w:val="ListParagraph"/>
        <w:numPr>
          <w:ilvl w:val="0"/>
          <w:numId w:val="1"/>
        </w:numPr>
        <w:spacing w:after="60"/>
      </w:pPr>
      <w:r>
        <w:rPr>
          <w:sz w:val="22"/>
          <w:szCs w:val="22"/>
        </w:rPr>
        <w:t xml:space="preserve">AAC.4.b and AAC.5.c require qualified laboratory and imaging personnel; this policy verifies the qualification.</w:t>
      </w:r>
    </w:p>
    <w:p>
      <w:pPr>
        <w:pStyle w:val="Heading1"/>
        <w:spacing w:after="120" w:before="280"/>
      </w:pPr>
      <w:r>
        <w:t xml:space="preserve">3. Policy standards</w:t>
      </w:r>
    </w:p>
    <w:p>
      <w:pPr>
        <w:spacing w:after="140"/>
      </w:pPr>
      <w:r>
        <w:rPr>
          <w:sz w:val="22"/>
          <w:szCs w:val="22"/>
        </w:rPr>
        <w:t xml:space="preserve">«Hospital Name» identifies para-clinical professionals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para-clinical professional without completed credentialing and privileging does not provide unsupervised patient care or patient-facing services at «Hospital Name».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para-clinical professional to provide unsupervised patient care who is not listed in the para-clinical privileging register.</w:t>
      </w:r>
    </w:p>
    <w:p>
      <w:pPr>
        <w:spacing w:after="80"/>
      </w:pPr>
      <w:r>
        <w:rPr>
          <w:sz w:val="22"/>
          <w:szCs w:val="22"/>
        </w:rPr>
        <w:t xml:space="preserve">2. Granting privileges beyond the professional's verified qualification, training, experience or current statutory registration — including Pharmacy Council registration for pharmacists, State Medical Faculty or equivalent board registration for laboratory technicians, AERB authorisation for radiographers, and State Council of Physiotherapy registration for physiotherapists.</w:t>
      </w:r>
    </w:p>
    <w:p>
      <w:pPr>
        <w:spacing w:after="80"/>
      </w:pPr>
      <w:r>
        <w:rPr>
          <w:sz w:val="22"/>
          <w:szCs w:val="22"/>
        </w:rPr>
        <w:t xml:space="preserve">3. Continuing unsupervised practice when registration or council enrolment has lapsed without suspension from the privileging register.</w:t>
      </w:r>
    </w:p>
    <w:p>
      <w:pPr>
        <w:spacing w:after="80"/>
      </w:pPr>
      <w:r>
        <w:rPr>
          <w:sz w:val="22"/>
          <w:szCs w:val="22"/>
        </w:rPr>
        <w:t xml:space="preserve">4. Allowing a laboratory technician to perform tests, a radiographer to operate equipment, a physiotherapist to treat patients, or a pharmacist to dispense medications beyond the scope listed in the privilege letter.</w:t>
      </w:r>
    </w:p>
    <w:p>
      <w:pPr>
        <w:spacing w:after="80"/>
      </w:pPr>
      <w:r>
        <w:rPr>
          <w:sz w:val="22"/>
          <w:szCs w:val="22"/>
        </w:rPr>
        <w:t xml:space="preserve">5. Assigning a para-clinical professional to a department whose scope is not reflected in the privilege letter.</w:t>
      </w:r>
    </w:p>
    <w:p>
      <w:pPr>
        <w:spacing w:after="140"/>
      </w:pPr>
      <w:r>
        <w:rPr>
          <w:sz w:val="22"/>
          <w:szCs w:val="22"/>
        </w:rPr>
        <w:t xml:space="preserve">Staff who cannot confirm completed credentialing and privileging do not permit unsupervised para-clinical practice. They report to the «department head» or «HR Manager» immediately.</w:t>
      </w:r>
    </w:p>
    <w:p>
      <w:pPr>
        <w:pStyle w:val="Heading1"/>
        <w:spacing w:after="120" w:before="280"/>
      </w:pPr>
      <w:r>
        <w:t xml:space="preserve">5. What we do</w:t>
      </w:r>
    </w:p>
    <w:p>
      <w:pPr>
        <w:pStyle w:val="Heading2"/>
        <w:spacing w:after="100" w:before="220"/>
      </w:pPr>
      <w:r>
        <w:t xml:space="preserve">5.1 Identify para-clinical professionals permitted for unsupervised patient care</w:t>
      </w:r>
    </w:p>
    <w:p>
      <w:pPr>
        <w:spacing w:after="140"/>
      </w:pPr>
      <w:r>
        <w:rPr>
          <w:sz w:val="22"/>
          <w:szCs w:val="22"/>
        </w:rPr>
        <w:t xml:space="preserve">Para-clinical professionals permitted by law, regulation and the organisation to provide patient care without supervision are identified.</w:t>
      </w:r>
    </w:p>
    <w:p>
      <w:pPr>
        <w:spacing w:after="140"/>
      </w:pPr>
      <w:r>
        <w:rPr>
          <w:sz w:val="22"/>
          <w:szCs w:val="22"/>
        </w:rPr>
        <w:t xml:space="preserve">«Hospital Name» maintains a Credentialing and Privileging SOP for para-clinical professionals. The SOP defines which categories may practise independently at this hospital — «registered pharmacists, DMLT or B.Sc. MLT laboratory technicians, diploma or degree radiographers with AERB authorisation where required, registered physiotherapists, and other allied health staff with defined scope».</w:t>
      </w:r>
    </w:p>
    <w:p>
      <w:pPr>
        <w:spacing w:after="140"/>
      </w:pPr>
      <w:r>
        <w:rPr>
          <w:sz w:val="22"/>
          <w:szCs w:val="22"/>
        </w:rPr>
        <w:t xml:space="preserve">The «HR Manager», in consultation with relevant department heads, maintains the para-clinical privileging register listing every independently practising para-clinical professional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profession category (pharmacist, laboratory technician, radiographer, physiotherapist, other);</w:t>
      </w:r>
    </w:p>
    <w:p>
      <w:pPr>
        <w:pStyle w:val="ListParagraph"/>
        <w:numPr>
          <w:ilvl w:val="0"/>
          <w:numId w:val="1"/>
        </w:numPr>
        <w:spacing w:after="60"/>
      </w:pPr>
      <w:r>
        <w:rPr>
          <w:sz w:val="22"/>
          <w:szCs w:val="22"/>
        </w:rPr>
        <w:t xml:space="preserve">statutory registration number and issuing body (State Pharmacy Council, State Medical Faculty or board, AERB, State Council of Physiotherapy, or equivalent);</w:t>
      </w:r>
    </w:p>
    <w:p>
      <w:pPr>
        <w:pStyle w:val="ListParagraph"/>
        <w:numPr>
          <w:ilvl w:val="0"/>
          <w:numId w:val="1"/>
        </w:numPr>
        <w:spacing w:after="60"/>
      </w:pPr>
      <w:r>
        <w:rPr>
          <w:sz w:val="22"/>
          <w:szCs w:val="22"/>
        </w:rPr>
        <w:t xml:space="preserve">qualification;</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privileges granted and any restrictions.</w:t>
      </w:r>
    </w:p>
    <w:p>
      <w:pPr>
        <w:spacing w:after="140"/>
      </w:pPr>
      <w:r>
        <w:rPr>
          <w:sz w:val="22"/>
          <w:szCs w:val="22"/>
        </w:rPr>
        <w:t xml:space="preserve">The register is available to department heads. A current extract is displayed in «each para-clinical department (laboratory, radiology, pharmacy, physiotherapy)».</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and experience of para-clinical professionals are appropriately verified, documented and updated periodically.</w:t>
      </w:r>
    </w:p>
    <w:p>
      <w:pPr>
        <w:spacing w:after="140"/>
      </w:pPr>
      <w:r>
        <w:rPr>
          <w:sz w:val="22"/>
          <w:szCs w:val="22"/>
        </w:rPr>
        <w:t xml:space="preserve">At credentialing (initial appointment or privilege renewal), the «HR Manager» collects and verifies credentials according to profession:</w:t>
      </w:r>
    </w:p>
    <w:p>
      <w:pPr>
        <w:pStyle w:val="ListParagraph"/>
        <w:numPr>
          <w:ilvl w:val="0"/>
          <w:numId w:val="1"/>
        </w:numPr>
        <w:spacing w:after="60"/>
      </w:pPr>
      <w:r>
        <w:rPr>
          <w:sz w:val="22"/>
          <w:szCs w:val="22"/>
        </w:rPr>
        <w:t xml:space="preserve">**Pharmacists** — pharmacy degree or diploma; registration with the State Pharmacy Council under the Pharmacy Act, 1948.</w:t>
      </w:r>
    </w:p>
    <w:p>
      <w:pPr>
        <w:pStyle w:val="ListParagraph"/>
        <w:numPr>
          <w:ilvl w:val="0"/>
          <w:numId w:val="1"/>
        </w:numPr>
        <w:spacing w:after="60"/>
      </w:pPr>
      <w:r>
        <w:rPr>
          <w:sz w:val="22"/>
          <w:szCs w:val="22"/>
        </w:rPr>
        <w:t xml:space="preserve">**Laboratory technicians** — DMLT, B.Sc. MLT or equivalent; registration or enrolment with the applicable State Medical Faculty, Paramedical Board or council recognised in the state.</w:t>
      </w:r>
    </w:p>
    <w:p>
      <w:pPr>
        <w:pStyle w:val="ListParagraph"/>
        <w:numPr>
          <w:ilvl w:val="0"/>
          <w:numId w:val="1"/>
        </w:numPr>
        <w:spacing w:after="60"/>
      </w:pPr>
      <w:r>
        <w:rPr>
          <w:sz w:val="22"/>
          <w:szCs w:val="22"/>
        </w:rPr>
        <w:t xml:space="preserve">**Radiographers** — diploma or degree in radiography; AERB authorisation where the person operates radiation-generating equipment; registration with the applicable state board where required.</w:t>
      </w:r>
    </w:p>
    <w:p>
      <w:pPr>
        <w:pStyle w:val="ListParagraph"/>
        <w:numPr>
          <w:ilvl w:val="0"/>
          <w:numId w:val="1"/>
        </w:numPr>
        <w:spacing w:after="60"/>
      </w:pPr>
      <w:r>
        <w:rPr>
          <w:sz w:val="22"/>
          <w:szCs w:val="22"/>
        </w:rPr>
        <w:t xml:space="preserve">**Physiotherapists** — BPT or MPT; registration with the State Council of Physiotherapy or Indian Association of Physiotherapists state chapter as applicable.</w:t>
      </w:r>
    </w:p>
    <w:p>
      <w:pPr>
        <w:pStyle w:val="ListParagraph"/>
        <w:numPr>
          <w:ilvl w:val="0"/>
          <w:numId w:val="1"/>
        </w:numPr>
        <w:spacing w:after="60"/>
      </w:pPr>
      <w:r>
        <w:rPr>
          <w:sz w:val="22"/>
          <w:szCs w:val="22"/>
        </w:rPr>
        <w:t xml:space="preserve">**Other allied health** — qualification and registration as required by the applicable council or board for that profession in the state.</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Para-clinical professionals are granted privileges in consonance with their qualification, training, experience and registration.</w:t>
      </w:r>
    </w:p>
    <w:p>
      <w:pPr>
        <w:spacing w:after="140"/>
      </w:pPr>
      <w:r>
        <w:rPr>
          <w:sz w:val="22"/>
          <w:szCs w:val="22"/>
        </w:rPr>
        <w:t xml:space="preserve">The «Credentialing Committee» — chaired by the «Medical Superintendent» with the «HR Manager» and the relevant department head (Laboratory In-Charge, Radiology In-Charge, Pharmacy In-Charge, Physiotherapy In-Charge) — reviews each application and grants privileges by written privilege letter. The letter specifies:</w:t>
      </w:r>
    </w:p>
    <w:p>
      <w:pPr>
        <w:pStyle w:val="ListParagraph"/>
        <w:numPr>
          <w:ilvl w:val="0"/>
          <w:numId w:val="1"/>
        </w:numPr>
        <w:spacing w:after="60"/>
      </w:pPr>
      <w:r>
        <w:rPr>
          <w:sz w:val="22"/>
          <w:szCs w:val="22"/>
        </w:rPr>
        <w:t xml:space="preserve">tests, procedures, equipment or services the professional may perform independently;</w:t>
      </w:r>
    </w:p>
    <w:p>
      <w:pPr>
        <w:pStyle w:val="ListParagraph"/>
        <w:numPr>
          <w:ilvl w:val="0"/>
          <w:numId w:val="1"/>
        </w:numPr>
        <w:spacing w:after="60"/>
      </w:pPr>
      <w:r>
        <w:rPr>
          <w:sz w:val="22"/>
          <w:szCs w:val="22"/>
        </w:rPr>
        <w:t xml:space="preserve">patient categories where applicable;</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Examples of profession-specific privileges:</w:t>
      </w:r>
    </w:p>
    <w:p>
      <w:pPr>
        <w:pStyle w:val="ListParagraph"/>
        <w:numPr>
          <w:ilvl w:val="0"/>
          <w:numId w:val="1"/>
        </w:numPr>
        <w:spacing w:after="60"/>
      </w:pPr>
      <w:r>
        <w:rPr>
          <w:sz w:val="22"/>
          <w:szCs w:val="22"/>
        </w:rPr>
        <w:t xml:space="preserve">Pharmacist: dispensing categories, IV admixture, cytotoxic preparation (if additionally trained per MOM.8).</w:t>
      </w:r>
    </w:p>
    <w:p>
      <w:pPr>
        <w:pStyle w:val="ListParagraph"/>
        <w:numPr>
          <w:ilvl w:val="0"/>
          <w:numId w:val="1"/>
        </w:numPr>
        <w:spacing w:after="60"/>
      </w:pPr>
      <w:r>
        <w:rPr>
          <w:sz w:val="22"/>
          <w:szCs w:val="22"/>
        </w:rPr>
        <w:t xml:space="preserve">Laboratory technician: test panels and analyser categories the technician may run and report.</w:t>
      </w:r>
    </w:p>
    <w:p>
      <w:pPr>
        <w:pStyle w:val="ListParagraph"/>
        <w:numPr>
          <w:ilvl w:val="0"/>
          <w:numId w:val="1"/>
        </w:numPr>
        <w:spacing w:after="60"/>
      </w:pPr>
      <w:r>
        <w:rPr>
          <w:sz w:val="22"/>
          <w:szCs w:val="22"/>
        </w:rPr>
        <w:t xml:space="preserve">Radiographer: modalities and AERB-authorised equipment the radiographer may operate.</w:t>
      </w:r>
    </w:p>
    <w:p>
      <w:pPr>
        <w:pStyle w:val="ListParagraph"/>
        <w:numPr>
          <w:ilvl w:val="0"/>
          <w:numId w:val="1"/>
        </w:numPr>
        <w:spacing w:after="60"/>
      </w:pPr>
      <w:r>
        <w:rPr>
          <w:sz w:val="22"/>
          <w:szCs w:val="22"/>
        </w:rPr>
        <w:t xml:space="preserve">Physiotherapist: treatment modalities and patient categories the therapist may treat independently.</w:t>
      </w:r>
    </w:p>
    <w:p>
      <w:pPr>
        <w:spacing w:after="140"/>
      </w:pPr>
      <w:r>
        <w:rPr>
          <w:sz w:val="22"/>
          <w:szCs w:val="22"/>
        </w:rPr>
        <w:t xml:space="preserve">Privileges not supported by verified credentials are not granted. A professional whose registration lapses is suspended from the register pending renewal verification.</w:t>
      </w:r>
    </w:p>
    <w:p>
      <w:pPr>
        <w:pStyle w:val="Heading2"/>
        <w:spacing w:after="100" w:before="220"/>
      </w:pPr>
      <w:r>
        <w:t xml:space="preserve">5.4 Requisite services known to para-clinical professionals and departments/units</w:t>
      </w:r>
    </w:p>
    <w:p>
      <w:pPr>
        <w:spacing w:after="140"/>
      </w:pPr>
      <w:r>
        <w:rPr>
          <w:sz w:val="22"/>
          <w:szCs w:val="22"/>
        </w:rPr>
        <w:t xml:space="preserve">The requisite services to be provided by the para-clinical professionals are known to them as well as the various departments/units of the organisation.</w:t>
      </w:r>
    </w:p>
    <w:p>
      <w:pPr>
        <w:spacing w:after="140"/>
      </w:pPr>
      <w:r>
        <w:rPr>
          <w:sz w:val="22"/>
          <w:szCs w:val="22"/>
        </w:rPr>
        <w:t xml:space="preserve">Each privilege letter is cross-referenced to the service directory (AAC.1) and the department scope statement. The department head confirms that the professional's privileges match the services the department claims to provide.</w:t>
      </w:r>
    </w:p>
    <w:p>
      <w:pPr>
        <w:spacing w:after="140"/>
      </w:pPr>
      <w:r>
        <w:rPr>
          <w:sz w:val="22"/>
          <w:szCs w:val="22"/>
        </w:rPr>
        <w:t xml:space="preserve">At each department induction or when a new para-clinical professional joins, the department head briefs the person on:</w:t>
      </w:r>
    </w:p>
    <w:p>
      <w:pPr>
        <w:pStyle w:val="ListParagraph"/>
        <w:numPr>
          <w:ilvl w:val="0"/>
          <w:numId w:val="1"/>
        </w:numPr>
        <w:spacing w:after="60"/>
      </w:pPr>
      <w:r>
        <w:rPr>
          <w:sz w:val="22"/>
          <w:szCs w:val="22"/>
        </w:rPr>
        <w:t xml:space="preserve">services, tests, procedures or treatments the department provides and those referred elsewhere;</w:t>
      </w:r>
    </w:p>
    <w:p>
      <w:pPr>
        <w:pStyle w:val="ListParagraph"/>
        <w:numPr>
          <w:ilvl w:val="0"/>
          <w:numId w:val="1"/>
        </w:numPr>
        <w:spacing w:after="60"/>
      </w:pPr>
      <w:r>
        <w:rPr>
          <w:sz w:val="22"/>
          <w:szCs w:val="22"/>
        </w:rPr>
        <w:t xml:space="preserve">quality standards, turnaround times and reporting requirements;</w:t>
      </w:r>
    </w:p>
    <w:p>
      <w:pPr>
        <w:pStyle w:val="ListParagraph"/>
        <w:numPr>
          <w:ilvl w:val="0"/>
          <w:numId w:val="1"/>
        </w:numPr>
        <w:spacing w:after="60"/>
      </w:pPr>
      <w:r>
        <w:rPr>
          <w:sz w:val="22"/>
          <w:szCs w:val="22"/>
        </w:rPr>
        <w:t xml:space="preserve">safety requirements (radiation safety, biosafety, cytotoxic handling as applicable);</w:t>
      </w:r>
    </w:p>
    <w:p>
      <w:pPr>
        <w:pStyle w:val="ListParagraph"/>
        <w:numPr>
          <w:ilvl w:val="0"/>
          <w:numId w:val="1"/>
        </w:numPr>
        <w:spacing w:after="60"/>
      </w:pPr>
      <w:r>
        <w:rPr>
          <w:sz w:val="22"/>
          <w:szCs w:val="22"/>
        </w:rPr>
        <w:t xml:space="preserve">escalation pathways to the treating doctor or consultant.</w:t>
      </w:r>
    </w:p>
    <w:p>
      <w:pPr>
        <w:spacing w:after="140"/>
      </w:pPr>
      <w:r>
        <w:rPr>
          <w:sz w:val="22"/>
          <w:szCs w:val="22"/>
        </w:rPr>
        <w:t xml:space="preserve">The briefing is recorded and filed in the credentialing file. Department heads maintain a current list of credentialed para-clinical staff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para-clinical professional has completed credentialing and privileging:</w:t>
      </w:r>
    </w:p>
    <w:p>
      <w:pPr>
        <w:spacing w:after="80"/>
      </w:pPr>
      <w:r>
        <w:rPr>
          <w:sz w:val="22"/>
          <w:szCs w:val="22"/>
        </w:rPr>
        <w:t xml:space="preserve">1. Does not permit that professional to provide unsupervised patient care or patient-facing services — including independent test reporting, radiation exposure, physiotherapy treatment or medication dispensing beyond verified privileges.</w:t>
      </w:r>
    </w:p>
    <w:p>
      <w:pPr>
        <w:spacing w:after="80"/>
      </w:pPr>
      <w:r>
        <w:rPr>
          <w:sz w:val="22"/>
          <w:szCs w:val="22"/>
        </w:rPr>
        <w:t xml:space="preserve">2. Ensures the service continues under another credentialed professional or under supervised care as clinically appropriate.</w:t>
      </w:r>
    </w:p>
    <w:p>
      <w:pPr>
        <w:spacing w:after="80"/>
      </w:pPr>
      <w:r>
        <w:rPr>
          <w:sz w:val="22"/>
          <w:szCs w:val="22"/>
        </w:rPr>
        <w:t xml:space="preserve">3. Reports to the «department head» or «HR Manager» immediately — the same shift.</w:t>
      </w:r>
    </w:p>
    <w:p>
      <w:pPr>
        <w:spacing w:after="140"/>
      </w:pPr>
      <w:r>
        <w:rPr>
          <w:sz w:val="22"/>
          <w:szCs w:val="22"/>
        </w:rPr>
        <w:t xml:space="preserve">For a professional whose statutory registration or council enrolment has lapsed:</w:t>
      </w:r>
    </w:p>
    <w:p>
      <w:pPr>
        <w:spacing w:after="80"/>
      </w:pPr>
      <w:r>
        <w:rPr>
          <w:sz w:val="22"/>
          <w:szCs w:val="22"/>
        </w:rPr>
        <w:t xml:space="preserve">1. Suspends the professional from the privileging register pending verification.</w:t>
      </w:r>
    </w:p>
    <w:p>
      <w:pPr>
        <w:spacing w:after="80"/>
      </w:pPr>
      <w:r>
        <w:rPr>
          <w:sz w:val="22"/>
          <w:szCs w:val="22"/>
        </w:rPr>
        <w:t xml:space="preserve">2. Does not assign unsupervised duties until registration is confirmed current.</w:t>
      </w:r>
    </w:p>
    <w:p>
      <w:pPr>
        <w:spacing w:after="80"/>
      </w:pPr>
      <w:r>
        <w:rPr>
          <w:sz w:val="22"/>
          <w:szCs w:val="22"/>
        </w:rPr>
        <w:t xml:space="preserve">3. Notifies the «Medical Superintendent» and the relevant department head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the Credentialing Committee; accountable for the para-clinical privileging register.</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para-clinical privileges by written decision.</w:t>
      </w:r>
    </w:p>
    <w:p>
      <w:pPr>
        <w:pStyle w:val="ListParagraph"/>
        <w:numPr>
          <w:ilvl w:val="0"/>
          <w:numId w:val="1"/>
        </w:numPr>
        <w:spacing w:after="60"/>
      </w:pPr>
      <w:r>
        <w:rPr>
          <w:sz w:val="22"/>
          <w:szCs w:val="22"/>
        </w:rPr>
        <w:t xml:space="preserve">Department heads (Laboratory, Radiology, Pharmacy, Physiotherapy and others)</w:t>
      </w:r>
    </w:p>
    <w:p>
      <w:pPr>
        <w:pStyle w:val="ListParagraph"/>
        <w:numPr>
          <w:ilvl w:val="0"/>
          <w:numId w:val="1"/>
        </w:numPr>
        <w:spacing w:after="60"/>
      </w:pPr>
      <w:r>
        <w:rPr>
          <w:sz w:val="22"/>
          <w:szCs w:val="22"/>
        </w:rPr>
        <w:t xml:space="preserve">Confirm privileges match department scope; brief new staff; maintain unit staff lists.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Para-clinical privileging register is current — every unsupervised professional is listed.</w:t>
      </w:r>
    </w:p>
    <w:p>
      <w:pPr>
        <w:pStyle w:val="ListParagraph"/>
        <w:numPr>
          <w:ilvl w:val="0"/>
          <w:numId w:val="1"/>
        </w:numPr>
        <w:spacing w:after="60"/>
      </w:pPr>
      <w:r>
        <w:rPr>
          <w:sz w:val="22"/>
          <w:szCs w:val="22"/>
        </w:rPr>
        <w:t xml:space="preserve">Sample credentialing files checked for primary-source verification by profession.</w:t>
      </w:r>
    </w:p>
    <w:p>
      <w:pPr>
        <w:pStyle w:val="ListParagraph"/>
        <w:numPr>
          <w:ilvl w:val="0"/>
          <w:numId w:val="1"/>
        </w:numPr>
        <w:spacing w:after="60"/>
      </w:pPr>
      <w:r>
        <w:rPr>
          <w:sz w:val="22"/>
          <w:szCs w:val="22"/>
        </w:rPr>
        <w:t xml:space="preserve">Registration renewal dates — no professional practising with lapsed registration.</w:t>
      </w:r>
    </w:p>
    <w:p>
      <w:pPr>
        <w:pStyle w:val="ListParagraph"/>
        <w:numPr>
          <w:ilvl w:val="0"/>
          <w:numId w:val="1"/>
        </w:numPr>
        <w:spacing w:after="60"/>
      </w:pPr>
      <w:r>
        <w:rPr>
          <w:sz w:val="22"/>
          <w:szCs w:val="22"/>
        </w:rPr>
        <w:t xml:space="preserve">Privilege letters within validity period and matched to department scope.</w:t>
      </w:r>
    </w:p>
    <w:p>
      <w:pPr>
        <w:pStyle w:val="ListParagraph"/>
        <w:numPr>
          <w:ilvl w:val="0"/>
          <w:numId w:val="1"/>
        </w:numPr>
        <w:spacing w:after="60"/>
      </w:pPr>
      <w:r>
        <w:rPr>
          <w:sz w:val="22"/>
          <w:szCs w:val="22"/>
        </w:rPr>
        <w:t xml:space="preserve">Unit staff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para-clinical professional is found providing unsupervised services, or when registration lapses are detected after the fact.</w:t>
      </w:r>
    </w:p>
    <w:p>
      <w:pPr>
        <w:spacing w:after="140"/>
      </w:pPr>
      <w:r>
        <w:rPr>
          <w:sz w:val="22"/>
          <w:szCs w:val="22"/>
        </w:rPr>
        <w:t xml:space="preserve">This policy is reviewed «annually», and sooner when statutory registration requirements for any para-clinical profession change.</w:t>
      </w:r>
    </w:p>
    <w:p>
      <w:pPr>
        <w:pStyle w:val="Heading1"/>
        <w:spacing w:after="120" w:before="280"/>
      </w:pPr>
      <w:r>
        <w:t xml:space="preserve">9. Training and staff acknowledgement</w:t>
      </w:r>
    </w:p>
    <w:p>
      <w:pPr>
        <w:spacing w:after="140"/>
      </w:pPr>
      <w:r>
        <w:rPr>
          <w:sz w:val="22"/>
          <w:szCs w:val="22"/>
        </w:rPr>
        <w:t xml:space="preserve">Department heads, the HR Manager and para-clinical staff are trained on this policy at induction and «once a year» after that. Training covers the privileging register, profession-specific registration requirements, stop-work authority and how to verify credentials.</w:t>
      </w:r>
    </w:p>
    <w:p>
      <w:pPr>
        <w:spacing w:after="140"/>
      </w:pPr>
      <w:r>
        <w:rPr>
          <w:sz w:val="22"/>
          <w:szCs w:val="22"/>
        </w:rPr>
        <w:t xml:space="preserve">Staff acknowledgement</w:t>
      </w:r>
    </w:p>
    <w:p>
      <w:pPr>
        <w:spacing w:after="140"/>
      </w:pPr>
      <w:r>
        <w:rPr>
          <w:sz w:val="22"/>
          <w:szCs w:val="22"/>
        </w:rPr>
        <w:t xml:space="preserve">I have read this Para-Clinical Professionals Credentialing and Privileging policy of «Hospital Name». I understand the privileging register, stop-work authority and that unsupervised para-clinical practice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HRM.9.</w:t>
      </w:r>
    </w:p>
    <w:p>
      <w:pPr>
        <w:pStyle w:val="ListParagraph"/>
        <w:numPr>
          <w:ilvl w:val="0"/>
          <w:numId w:val="1"/>
        </w:numPr>
        <w:spacing w:after="60"/>
      </w:pPr>
      <w:r>
        <w:rPr>
          <w:sz w:val="22"/>
          <w:szCs w:val="22"/>
        </w:rPr>
        <w:t xml:space="preserve">Pharmacy Act, 1948 — registration of pharmacists with the State Pharmacy Council.</w:t>
      </w:r>
    </w:p>
    <w:p>
      <w:pPr>
        <w:pStyle w:val="ListParagraph"/>
        <w:numPr>
          <w:ilvl w:val="0"/>
          <w:numId w:val="1"/>
        </w:numPr>
        <w:spacing w:after="60"/>
      </w:pPr>
      <w:r>
        <w:rPr>
          <w:sz w:val="22"/>
          <w:szCs w:val="22"/>
        </w:rPr>
        <w:t xml:space="preserve">Applicable State Medical Faculty, Paramedical Board or council registration for laboratory technicians.</w:t>
      </w:r>
    </w:p>
    <w:p>
      <w:pPr>
        <w:pStyle w:val="ListParagraph"/>
        <w:numPr>
          <w:ilvl w:val="0"/>
          <w:numId w:val="1"/>
        </w:numPr>
        <w:spacing w:after="60"/>
      </w:pPr>
      <w:r>
        <w:rPr>
          <w:sz w:val="22"/>
          <w:szCs w:val="22"/>
        </w:rPr>
        <w:t xml:space="preserve">Atomic Energy (Radiation Protection) Rules, 2004 — authorisation for radiographers operating radiation-generating equipment.</w:t>
      </w:r>
    </w:p>
    <w:p>
      <w:pPr>
        <w:pStyle w:val="ListParagraph"/>
        <w:numPr>
          <w:ilvl w:val="0"/>
          <w:numId w:val="1"/>
        </w:numPr>
        <w:spacing w:after="60"/>
      </w:pPr>
      <w:r>
        <w:rPr>
          <w:sz w:val="22"/>
          <w:szCs w:val="22"/>
        </w:rPr>
        <w:t xml:space="preserve">Applicable State Council of Physiotherapy registration for physiotherapists.</w:t>
      </w:r>
    </w:p>
    <w:p>
      <w:pPr>
        <w:pStyle w:val="ListParagraph"/>
        <w:numPr>
          <w:ilvl w:val="0"/>
          <w:numId w:val="1"/>
        </w:numPr>
        <w:spacing w:after="60"/>
      </w:pPr>
      <w:r>
        <w:rPr>
          <w:sz w:val="22"/>
          <w:szCs w:val="22"/>
        </w:rPr>
        <w:t xml:space="preserve">Internal documents of «Hospital Name»: para-clinical privileging register; credentialing files; privilege letters; Credentialing Committee minutes.</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HR Manager and the Quality Coordinator.</w:t>
      </w:r>
    </w:p>
    <w:p>
      <w:pPr>
        <w:spacing w:after="140"/>
      </w:pPr>
      <w:r>
        <w:rPr>
          <w:sz w:val="22"/>
          <w:szCs w:val="22"/>
        </w:rPr>
        <w:t xml:space="preserve">Copies issued to: laboratory; radiology; pharmacy; physiotherapy; other allied health departments; HR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AERB — Atomic Energy Regulatory Board
CAPA — corrective and preventive action
DMLT — Diploma in Medical Laboratory Technology
HRM — Human Resource Management (NABH SHCO chapter)
MLT — Medical Laboratory Technology
NABH — National Accreditation Board for Hospitals and Healthcare Providers
OE — objective element
SHCO — Standards for Small Healthcare Organisations
SPC — State Pharmacy Council</w:t>
      </w:r>
    </w:p>
    <w:p>
      <w:pPr>
        <w:pStyle w:val="Heading1"/>
        <w:spacing w:after="120" w:before="280"/>
      </w:pPr>
      <w:r>
        <w:t xml:space="preserve">13. Traceability to NABH SHCO 3rd Edition HRM.9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para-clinical professionals;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department heads (confirm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para-clinical professionals are appropriately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by profession);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Medical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para-clinical professionals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professionals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(brief staff and maintain unit lists); HR Manager (cross-reference to service directory)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HRM.9.a — Para-clinical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para-clinical professionals.</w:t>
      </w:r>
    </w:p>
    <w:p>
      <w:pPr>
        <w:pStyle w:val="ListParagraph"/>
        <w:numPr>
          <w:ilvl w:val="0"/>
          <w:numId w:val="1"/>
        </w:numPr>
        <w:spacing w:after="60"/>
      </w:pPr>
      <w:r>
        <w:rPr>
          <w:sz w:val="22"/>
          <w:szCs w:val="22"/>
        </w:rPr>
        <w:t xml:space="preserve">Para-clinical privileging register with profession, registration body and number.</w:t>
      </w:r>
    </w:p>
    <w:p>
      <w:pPr>
        <w:pStyle w:val="ListParagraph"/>
        <w:numPr>
          <w:ilvl w:val="0"/>
          <w:numId w:val="1"/>
        </w:numPr>
        <w:spacing w:after="60"/>
      </w:pPr>
      <w:r>
        <w:rPr>
          <w:sz w:val="22"/>
          <w:szCs w:val="22"/>
        </w:rPr>
        <w:t xml:space="preserve">Department display or extract of credentialed para-clinical staff.</w:t>
      </w:r>
    </w:p>
    <w:p>
      <w:pPr>
        <w:pStyle w:val="ListParagraph"/>
        <w:numPr>
          <w:ilvl w:val="0"/>
          <w:numId w:val="1"/>
        </w:numPr>
        <w:spacing w:after="60"/>
      </w:pPr>
      <w:r>
        <w:rPr>
          <w:sz w:val="22"/>
          <w:szCs w:val="22"/>
        </w:rPr>
        <w:t xml:space="preserve">Quarterly audit sample showing register matches practising staff.</w:t>
      </w:r>
    </w:p>
    <w:p>
      <w:pPr>
        <w:pStyle w:val="Heading2"/>
        <w:spacing w:after="100" w:before="220"/>
      </w:pPr>
      <w:r>
        <w:t xml:space="preserve">HRM.9.b — The education, registration, training and experience of para-clinical professionals are appropriately verified, documented and updated periodically.</w:t>
      </w:r>
    </w:p>
    <w:p>
      <w:pPr>
        <w:pStyle w:val="ListParagraph"/>
        <w:numPr>
          <w:ilvl w:val="0"/>
          <w:numId w:val="1"/>
        </w:numPr>
        <w:spacing w:after="60"/>
      </w:pPr>
      <w:r>
        <w:rPr>
          <w:sz w:val="22"/>
          <w:szCs w:val="22"/>
        </w:rPr>
        <w:t xml:space="preserve">Credentialing file with profession-specific primary-source verification.</w:t>
      </w:r>
    </w:p>
    <w:p>
      <w:pPr>
        <w:pStyle w:val="ListParagraph"/>
        <w:numPr>
          <w:ilvl w:val="0"/>
          <w:numId w:val="1"/>
        </w:numPr>
        <w:spacing w:after="60"/>
      </w:pPr>
      <w:r>
        <w:rPr>
          <w:sz w:val="22"/>
          <w:szCs w:val="22"/>
        </w:rPr>
        <w:t xml:space="preserve">State Pharmacy Council registration for pharmacists.</w:t>
      </w:r>
    </w:p>
    <w:p>
      <w:pPr>
        <w:pStyle w:val="ListParagraph"/>
        <w:numPr>
          <w:ilvl w:val="0"/>
          <w:numId w:val="1"/>
        </w:numPr>
        <w:spacing w:after="60"/>
      </w:pPr>
      <w:r>
        <w:rPr>
          <w:sz w:val="22"/>
          <w:szCs w:val="22"/>
        </w:rPr>
        <w:t xml:space="preserve">State Medical Faculty or board registration for laboratory technicians.</w:t>
      </w:r>
    </w:p>
    <w:p>
      <w:pPr>
        <w:pStyle w:val="ListParagraph"/>
        <w:numPr>
          <w:ilvl w:val="0"/>
          <w:numId w:val="1"/>
        </w:numPr>
        <w:spacing w:after="60"/>
      </w:pPr>
      <w:r>
        <w:rPr>
          <w:sz w:val="22"/>
          <w:szCs w:val="22"/>
        </w:rPr>
        <w:t xml:space="preserve">AERB authorisation and state board registration for radiographers where applicable.</w:t>
      </w:r>
    </w:p>
    <w:p>
      <w:pPr>
        <w:pStyle w:val="ListParagraph"/>
        <w:numPr>
          <w:ilvl w:val="0"/>
          <w:numId w:val="1"/>
        </w:numPr>
        <w:spacing w:after="60"/>
      </w:pPr>
      <w:r>
        <w:rPr>
          <w:sz w:val="22"/>
          <w:szCs w:val="22"/>
        </w:rPr>
        <w:t xml:space="preserve">State Council of Physiotherapy registration for physiotherapists.</w:t>
      </w:r>
    </w:p>
    <w:p>
      <w:pPr>
        <w:pStyle w:val="ListParagraph"/>
        <w:numPr>
          <w:ilvl w:val="0"/>
          <w:numId w:val="1"/>
        </w:numPr>
        <w:spacing w:after="60"/>
      </w:pPr>
      <w:r>
        <w:rPr>
          <w:sz w:val="22"/>
          <w:szCs w:val="22"/>
        </w:rPr>
        <w:t xml:space="preserve">Registration renewal tracking log with re-verification dates.</w:t>
      </w:r>
    </w:p>
    <w:p>
      <w:pPr>
        <w:pStyle w:val="Heading2"/>
        <w:spacing w:after="100" w:before="220"/>
      </w:pPr>
      <w:r>
        <w:t xml:space="preserve">HRM.9.c — Para-clinical professionals are granted privileges in consonance with their qualification, training, experience and registration.</w:t>
      </w:r>
    </w:p>
    <w:p>
      <w:pPr>
        <w:pStyle w:val="ListParagraph"/>
        <w:numPr>
          <w:ilvl w:val="0"/>
          <w:numId w:val="1"/>
        </w:numPr>
        <w:spacing w:after="60"/>
      </w:pPr>
      <w:r>
        <w:rPr>
          <w:sz w:val="22"/>
          <w:szCs w:val="22"/>
        </w:rPr>
        <w:t xml:space="preserve">Written privilege letters specifying tests, procedures, equipment or services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HRM.9.d — The requisite services to be provided by the para-clinical professionals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department scope.</w:t>
      </w:r>
    </w:p>
    <w:p>
      <w:pPr>
        <w:pStyle w:val="ListParagraph"/>
        <w:numPr>
          <w:ilvl w:val="0"/>
          <w:numId w:val="1"/>
        </w:numPr>
        <w:spacing w:after="60"/>
      </w:pPr>
      <w:r>
        <w:rPr>
          <w:sz w:val="22"/>
          <w:szCs w:val="22"/>
        </w:rPr>
        <w:t xml:space="preserve">Department induction or joining briefing records for each para-clinical professional.</w:t>
      </w:r>
    </w:p>
    <w:p>
      <w:pPr>
        <w:pStyle w:val="ListParagraph"/>
        <w:numPr>
          <w:ilvl w:val="0"/>
          <w:numId w:val="1"/>
        </w:numPr>
        <w:spacing w:after="60"/>
      </w:pPr>
      <w:r>
        <w:rPr>
          <w:sz w:val="22"/>
          <w:szCs w:val="22"/>
        </w:rPr>
        <w:t xml:space="preserve">Unit staff list matched to central register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respective statutory registration requirements for para-clinical professionals, including the Pharmacy Act, 1948 for pharmacists and the applicable council or board registration for laboratory technicians, radiographers and physiotherapists.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«HRM/POL/09»  |  Controlled document  |  Credentialing and Privileging of Para-Clinical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2026-08-19T17:01:40.167Z</dcterms:created>
  <dcterms:modified xsi:type="dcterms:W3CDTF">2026-08-19T17:01:40.167Z</dcterms:modified>
</cp:coreProperties>
</file>

<file path=docProps/custom.xml><?xml version="1.0" encoding="utf-8"?>
<Properties xmlns="http://schemas.openxmlformats.org/officeDocument/2006/custom-properties" xmlns:vt="http://schemas.openxmlformats.org/officeDocument/2006/docPropsVTypes"/>
</file>