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Emergency Services, Ambulance and Management of Disasters</w:t>
      </w:r>
    </w:p>
    <w:p>
      <w:pPr>
        <w:spacing w:after="300"/>
        <w:jc w:val="center"/>
      </w:pPr>
      <w:r>
        <w:rPr>
          <w:i/>
          <w:iCs/>
          <w:sz w:val="20"/>
          <w:szCs w:val="20"/>
        </w:rPr>
        <w:t xml:space="preserve">(Mandatory System Documentation as per NABH SHCO 3rd Edition — COP.2.a, COP.2.b, COP.2.c, COP.2.d, COP.2.e, COP.2.f, COP.2.g, COP.2.h, COP.2.i, COP.2.j, COP.2.k)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HMP/COP/POL-2</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COP.2.a, COP.2.b, COP.2.c, COP.2.d, COP.2.e, COP.2.f, COP.2.g, COP.2.h, COP.2.i, COP.2.j, COP.2.k</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COP</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COP.2.a</w:t>
            </w:r>
          </w:p>
        </w:tc>
        <w:tc>
          <w:tcPr>
            <w:tcW w:type="pct" w:w="45%"/>
          </w:tcPr>
          <w:p>
            <w:r>
              <w:rPr>
                <w:b w:val="false"/>
                <w:bCs w:val="false"/>
                <w:sz w:val="18"/>
                <w:szCs w:val="18"/>
              </w:rPr>
              <w:t xml:space="preserve">There shall be an identified area in the organization, which is easily accessible to receive and manage emergency patients, with adequate and appropriate resources.</w:t>
            </w:r>
          </w:p>
        </w:tc>
        <w:tc>
          <w:tcPr>
            <w:tcW w:type="pct" w:w="20%"/>
          </w:tcPr>
          <w:p>
            <w:r>
              <w:rPr>
                <w:b w:val="false"/>
                <w:bCs w:val="false"/>
                <w:sz w:val="18"/>
                <w:szCs w:val="18"/>
              </w:rPr>
              <w:t xml:space="preserve">Steps 1, 12</w:t>
            </w:r>
          </w:p>
        </w:tc>
        <w:tc>
          <w:tcPr>
            <w:tcW w:type="pct" w:w="20%"/>
          </w:tcPr>
          <w:p>
            <w:r>
              <w:rPr>
                <w:b w:val="false"/>
                <w:bCs w:val="false"/>
                <w:sz w:val="18"/>
                <w:szCs w:val="18"/>
              </w:rPr>
              <w:t xml:space="preserve">Person in charge of the emergency area keeps the area and its resources usable; head of the institution is accountable that an identified emergency area exists</w:t>
            </w:r>
          </w:p>
        </w:tc>
      </w:tr>
      <w:tr>
        <w:tc>
          <w:tcPr>
            <w:tcW w:type="pct" w:w="15%"/>
          </w:tcPr>
          <w:p>
            <w:r>
              <w:rPr>
                <w:b w:val="false"/>
                <w:bCs w:val="false"/>
                <w:sz w:val="18"/>
                <w:szCs w:val="18"/>
              </w:rPr>
              <w:t xml:space="preserve">COP.2.b</w:t>
            </w:r>
          </w:p>
        </w:tc>
        <w:tc>
          <w:tcPr>
            <w:tcW w:type="pct" w:w="45%"/>
          </w:tcPr>
          <w:p>
            <w:r>
              <w:rPr>
                <w:b w:val="false"/>
                <w:bCs w:val="false"/>
                <w:sz w:val="18"/>
                <w:szCs w:val="18"/>
              </w:rPr>
              <w:t xml:space="preserve">The organization manages medico-legal cases and provides emergency care in consonance with statutory requirements and in accordance with written guidance.</w:t>
            </w:r>
          </w:p>
        </w:tc>
        <w:tc>
          <w:tcPr>
            <w:tcW w:type="pct" w:w="20%"/>
          </w:tcPr>
          <w:p>
            <w:r>
              <w:rPr>
                <w:b w:val="false"/>
                <w:bCs w:val="false"/>
                <w:sz w:val="18"/>
                <w:szCs w:val="18"/>
              </w:rPr>
              <w:t xml:space="preserve">Steps 2, 7, 12</w:t>
            </w:r>
          </w:p>
        </w:tc>
        <w:tc>
          <w:tcPr>
            <w:tcW w:type="pct" w:w="20%"/>
          </w:tcPr>
          <w:p>
            <w:r>
              <w:rPr>
                <w:b w:val="false"/>
                <w:bCs w:val="false"/>
                <w:sz w:val="18"/>
                <w:szCs w:val="18"/>
              </w:rPr>
              <w:t xml:space="preserve">Clinicians treat first and complete contemporaneous medico-legal documentation they are authorised to complete; authorised medico-legal staff intimate the police; person in charge of the emergency area holds the written guidance and the register; quality or accreditation coordinator audits; head of the institution is accountable that emergency care and medico-legal work match statute</w:t>
            </w:r>
          </w:p>
        </w:tc>
      </w:tr>
      <w:tr>
        <w:tc>
          <w:tcPr>
            <w:tcW w:type="pct" w:w="15%"/>
          </w:tcPr>
          <w:p>
            <w:r>
              <w:rPr>
                <w:b w:val="false"/>
                <w:bCs w:val="false"/>
                <w:sz w:val="18"/>
                <w:szCs w:val="18"/>
              </w:rPr>
              <w:t xml:space="preserve">COP.2.c</w:t>
            </w:r>
          </w:p>
        </w:tc>
        <w:tc>
          <w:tcPr>
            <w:tcW w:type="pct" w:w="45%"/>
          </w:tcPr>
          <w:p>
            <w:r>
              <w:rPr>
                <w:b w:val="false"/>
                <w:bCs w:val="false"/>
                <w:sz w:val="18"/>
                <w:szCs w:val="18"/>
              </w:rPr>
              <w:t xml:space="preserve">Initiation of appropriate care is guided by a system of triage.</w:t>
            </w:r>
          </w:p>
        </w:tc>
        <w:tc>
          <w:tcPr>
            <w:tcW w:type="pct" w:w="20%"/>
          </w:tcPr>
          <w:p>
            <w:r>
              <w:rPr>
                <w:b w:val="false"/>
                <w:bCs w:val="false"/>
                <w:sz w:val="18"/>
                <w:szCs w:val="18"/>
              </w:rPr>
              <w:t xml:space="preserve">Steps 3, 4, 12</w:t>
            </w:r>
          </w:p>
        </w:tc>
        <w:tc>
          <w:tcPr>
            <w:tcW w:type="pct" w:w="20%"/>
          </w:tcPr>
          <w:p>
            <w:r>
              <w:rPr>
                <w:b w:val="false"/>
                <w:bCs w:val="false"/>
                <w:sz w:val="18"/>
                <w:szCs w:val="18"/>
              </w:rPr>
              <w:t xml:space="preserve">Staff who triage apply the system at arrival and re-apply it when status changes; person in charge of the emergency area holds the written guidance; clinicians start care at the category assigned; quality or accreditation coordinator audits</w:t>
            </w:r>
          </w:p>
        </w:tc>
      </w:tr>
      <w:tr>
        <w:tc>
          <w:tcPr>
            <w:tcW w:type="pct" w:w="15%"/>
          </w:tcPr>
          <w:p>
            <w:r>
              <w:rPr>
                <w:b w:val="false"/>
                <w:bCs w:val="false"/>
                <w:sz w:val="18"/>
                <w:szCs w:val="18"/>
              </w:rPr>
              <w:t xml:space="preserve">COP.2.d</w:t>
            </w:r>
          </w:p>
        </w:tc>
        <w:tc>
          <w:tcPr>
            <w:tcW w:type="pct" w:w="45%"/>
          </w:tcPr>
          <w:p>
            <w:r>
              <w:rPr>
                <w:b w:val="false"/>
                <w:bCs w:val="false"/>
                <w:sz w:val="18"/>
                <w:szCs w:val="18"/>
              </w:rPr>
              <w:t xml:space="preserve">Patients waiting in the emergency are reassessed as appropriate for the change in status.</w:t>
            </w:r>
          </w:p>
        </w:tc>
        <w:tc>
          <w:tcPr>
            <w:tcW w:type="pct" w:w="20%"/>
          </w:tcPr>
          <w:p>
            <w:r>
              <w:rPr>
                <w:b w:val="false"/>
                <w:bCs w:val="false"/>
                <w:sz w:val="18"/>
                <w:szCs w:val="18"/>
              </w:rPr>
              <w:t xml:space="preserve">Steps 4, 3, 12</w:t>
            </w:r>
          </w:p>
        </w:tc>
        <w:tc>
          <w:tcPr>
            <w:tcW w:type="pct" w:w="20%"/>
          </w:tcPr>
          <w:p>
            <w:r>
              <w:rPr>
                <w:b w:val="false"/>
                <w:bCs w:val="false"/>
                <w:sz w:val="18"/>
                <w:szCs w:val="18"/>
              </w:rPr>
              <w:t xml:space="preserve">Staff who triage and observe waiting patients reassess at the stated interval; person in charge of the emergency area holds the interval; quality or accreditation coordinator audits</w:t>
            </w:r>
          </w:p>
        </w:tc>
      </w:tr>
      <w:tr>
        <w:tc>
          <w:tcPr>
            <w:tcW w:type="pct" w:w="15%"/>
          </w:tcPr>
          <w:p>
            <w:r>
              <w:rPr>
                <w:b w:val="false"/>
                <w:bCs w:val="false"/>
                <w:sz w:val="18"/>
                <w:szCs w:val="18"/>
              </w:rPr>
              <w:t xml:space="preserve">COP.2.e</w:t>
            </w:r>
          </w:p>
        </w:tc>
        <w:tc>
          <w:tcPr>
            <w:tcW w:type="pct" w:w="45%"/>
          </w:tcPr>
          <w:p>
            <w:r>
              <w:rPr>
                <w:b w:val="false"/>
                <w:bCs w:val="false"/>
                <w:sz w:val="18"/>
                <w:szCs w:val="18"/>
              </w:rPr>
              <w:t xml:space="preserve">Admission, discharge to home or transfer to another organization is documented, and a discharge note shall be given to the patient.</w:t>
            </w:r>
          </w:p>
        </w:tc>
        <w:tc>
          <w:tcPr>
            <w:tcW w:type="pct" w:w="20%"/>
          </w:tcPr>
          <w:p>
            <w:r>
              <w:rPr>
                <w:b w:val="false"/>
                <w:bCs w:val="false"/>
                <w:sz w:val="18"/>
                <w:szCs w:val="18"/>
              </w:rPr>
              <w:t xml:space="preserve">Steps 5, 12</w:t>
            </w:r>
          </w:p>
        </w:tc>
        <w:tc>
          <w:tcPr>
            <w:tcW w:type="pct" w:w="20%"/>
          </w:tcPr>
          <w:p>
            <w:r>
              <w:rPr>
                <w:b w:val="false"/>
                <w:bCs w:val="false"/>
                <w:sz w:val="18"/>
                <w:szCs w:val="18"/>
              </w:rPr>
              <w:t xml:space="preserve">Clinicians document disposition and give the emergency discharge note; AAC.2 owns the between-organisation transfer note; AAC.8 owns the leaving-the-organisation summary; quality or accreditation coordinator audits</w:t>
            </w:r>
          </w:p>
        </w:tc>
      </w:tr>
      <w:tr>
        <w:tc>
          <w:tcPr>
            <w:tcW w:type="pct" w:w="15%"/>
          </w:tcPr>
          <w:p>
            <w:r>
              <w:rPr>
                <w:b w:val="false"/>
                <w:bCs w:val="false"/>
                <w:sz w:val="18"/>
                <w:szCs w:val="18"/>
              </w:rPr>
              <w:t xml:space="preserve">COP.2.f</w:t>
            </w:r>
          </w:p>
        </w:tc>
        <w:tc>
          <w:tcPr>
            <w:tcW w:type="pct" w:w="45%"/>
          </w:tcPr>
          <w:p>
            <w:r>
              <w:rPr>
                <w:b w:val="false"/>
                <w:bCs w:val="false"/>
                <w:sz w:val="18"/>
                <w:szCs w:val="18"/>
              </w:rPr>
              <w:t xml:space="preserve">The organization shall implement a quality assurance programme.</w:t>
            </w:r>
          </w:p>
        </w:tc>
        <w:tc>
          <w:tcPr>
            <w:tcW w:type="pct" w:w="20%"/>
          </w:tcPr>
          <w:p>
            <w:r>
              <w:rPr>
                <w:b w:val="false"/>
                <w:bCs w:val="false"/>
                <w:sz w:val="18"/>
                <w:szCs w:val="18"/>
              </w:rPr>
              <w:t xml:space="preserve">Steps 6, 9, 11, 12</w:t>
            </w:r>
          </w:p>
        </w:tc>
        <w:tc>
          <w:tcPr>
            <w:tcW w:type="pct" w:w="20%"/>
          </w:tcPr>
          <w:p>
            <w:r>
              <w:rPr>
                <w:b w:val="false"/>
                <w:bCs w:val="false"/>
                <w:sz w:val="18"/>
                <w:szCs w:val="18"/>
              </w:rPr>
              <w:t xml:space="preserve">Named emergency quality lead operates the programme, records findings and corrective action, and reports; person in charge of the emergency area is accountable that the programme is run; quality or accreditation coordinator audits</w:t>
            </w:r>
          </w:p>
        </w:tc>
      </w:tr>
      <w:tr>
        <w:tc>
          <w:tcPr>
            <w:tcW w:type="pct" w:w="15%"/>
          </w:tcPr>
          <w:p>
            <w:r>
              <w:rPr>
                <w:b w:val="false"/>
                <w:bCs w:val="false"/>
                <w:sz w:val="18"/>
                <w:szCs w:val="18"/>
              </w:rPr>
              <w:t xml:space="preserve">COP.2.g</w:t>
            </w:r>
          </w:p>
        </w:tc>
        <w:tc>
          <w:tcPr>
            <w:tcW w:type="pct" w:w="45%"/>
          </w:tcPr>
          <w:p>
            <w:r>
              <w:rPr>
                <w:b w:val="false"/>
                <w:bCs w:val="false"/>
                <w:sz w:val="18"/>
                <w:szCs w:val="18"/>
              </w:rPr>
              <w:t xml:space="preserve">The organization has systems in place for the management of patients found dead on arrival and patients who die within a few minutes of arrival.</w:t>
            </w:r>
          </w:p>
        </w:tc>
        <w:tc>
          <w:tcPr>
            <w:tcW w:type="pct" w:w="20%"/>
          </w:tcPr>
          <w:p>
            <w:r>
              <w:rPr>
                <w:b w:val="false"/>
                <w:bCs w:val="false"/>
                <w:sz w:val="18"/>
                <w:szCs w:val="18"/>
              </w:rPr>
              <w:t xml:space="preserve">Steps 7, 2, 12</w:t>
            </w:r>
          </w:p>
        </w:tc>
        <w:tc>
          <w:tcPr>
            <w:tcW w:type="pct" w:w="20%"/>
          </w:tcPr>
          <w:p>
            <w:r>
              <w:rPr>
                <w:b w:val="false"/>
                <w:bCs w:val="false"/>
                <w:sz w:val="18"/>
                <w:szCs w:val="18"/>
              </w:rPr>
              <w:t xml:space="preserve">Person in charge of the emergency area holds the procedure; clinicians confirm death and apply step 2 when the case is medico-legal; quality or accreditation coordinator audits</w:t>
            </w:r>
          </w:p>
        </w:tc>
      </w:tr>
      <w:tr>
        <w:tc>
          <w:tcPr>
            <w:tcW w:type="pct" w:w="15%"/>
          </w:tcPr>
          <w:p>
            <w:r>
              <w:rPr>
                <w:b w:val="false"/>
                <w:bCs w:val="false"/>
                <w:sz w:val="18"/>
                <w:szCs w:val="18"/>
              </w:rPr>
              <w:t xml:space="preserve">COP.2.h</w:t>
            </w:r>
          </w:p>
        </w:tc>
        <w:tc>
          <w:tcPr>
            <w:tcW w:type="pct" w:w="45%"/>
          </w:tcPr>
          <w:p>
            <w:r>
              <w:rPr>
                <w:b w:val="false"/>
                <w:bCs w:val="false"/>
                <w:sz w:val="18"/>
                <w:szCs w:val="18"/>
              </w:rPr>
              <w:t xml:space="preserve">The organization has access to ambulance services commensurate with the scope of services provided by it.</w:t>
            </w:r>
          </w:p>
        </w:tc>
        <w:tc>
          <w:tcPr>
            <w:tcW w:type="pct" w:w="20%"/>
          </w:tcPr>
          <w:p>
            <w:r>
              <w:rPr>
                <w:b w:val="false"/>
                <w:bCs w:val="false"/>
                <w:sz w:val="18"/>
                <w:szCs w:val="18"/>
              </w:rPr>
              <w:t xml:space="preserve">Steps 8, 12</w:t>
            </w:r>
          </w:p>
        </w:tc>
        <w:tc>
          <w:tcPr>
            <w:tcW w:type="pct" w:w="20%"/>
          </w:tcPr>
          <w:p>
            <w:r>
              <w:rPr>
                <w:b w:val="false"/>
                <w:bCs w:val="false"/>
                <w:sz w:val="18"/>
                <w:szCs w:val="18"/>
              </w:rPr>
              <w:t xml:space="preserve">Person in charge of the emergency area and administration hold the access arrangement; head of the institution is accountable that ambulance access matches the defined scope</w:t>
            </w:r>
          </w:p>
        </w:tc>
      </w:tr>
      <w:tr>
        <w:tc>
          <w:tcPr>
            <w:tcW w:type="pct" w:w="15%"/>
          </w:tcPr>
          <w:p>
            <w:r>
              <w:rPr>
                <w:b w:val="false"/>
                <w:bCs w:val="false"/>
                <w:sz w:val="18"/>
                <w:szCs w:val="18"/>
              </w:rPr>
              <w:t xml:space="preserve">COP.2.i</w:t>
            </w:r>
          </w:p>
        </w:tc>
        <w:tc>
          <w:tcPr>
            <w:tcW w:type="pct" w:w="45%"/>
          </w:tcPr>
          <w:p>
            <w:r>
              <w:rPr>
                <w:b w:val="false"/>
                <w:bCs w:val="false"/>
                <w:sz w:val="18"/>
                <w:szCs w:val="18"/>
              </w:rPr>
              <w:t xml:space="preserve">The ambulance(s) is fit for purpose, is operated by trained personnel, is appropriately equipped, and ensures that emergency medications are available in the ambulance.</w:t>
            </w:r>
          </w:p>
        </w:tc>
        <w:tc>
          <w:tcPr>
            <w:tcW w:type="pct" w:w="20%"/>
          </w:tcPr>
          <w:p>
            <w:r>
              <w:rPr>
                <w:b w:val="false"/>
                <w:bCs w:val="false"/>
                <w:sz w:val="18"/>
                <w:szCs w:val="18"/>
              </w:rPr>
              <w:t xml:space="preserve">Steps 9, 6, 12</w:t>
            </w:r>
          </w:p>
        </w:tc>
        <w:tc>
          <w:tcPr>
            <w:tcW w:type="pct" w:w="20%"/>
          </w:tcPr>
          <w:p>
            <w:r>
              <w:rPr>
                <w:b w:val="false"/>
                <w:bCs w:val="false"/>
                <w:sz w:val="18"/>
                <w:szCs w:val="18"/>
              </w:rPr>
              <w:t xml:space="preserve">Ambulance personnel complete the check; person in charge of the emergency area holds the list; medication policies own the medication process when issued; quality or accreditation coordinator audits</w:t>
            </w:r>
          </w:p>
        </w:tc>
      </w:tr>
      <w:tr>
        <w:tc>
          <w:tcPr>
            <w:tcW w:type="pct" w:w="15%"/>
          </w:tcPr>
          <w:p>
            <w:r>
              <w:rPr>
                <w:b w:val="false"/>
                <w:bCs w:val="false"/>
                <w:sz w:val="18"/>
                <w:szCs w:val="18"/>
              </w:rPr>
              <w:t xml:space="preserve">COP.2.j</w:t>
            </w:r>
          </w:p>
        </w:tc>
        <w:tc>
          <w:tcPr>
            <w:tcW w:type="pct" w:w="45%"/>
          </w:tcPr>
          <w:p>
            <w:r>
              <w:rPr>
                <w:b w:val="false"/>
                <w:bCs w:val="false"/>
                <w:sz w:val="18"/>
                <w:szCs w:val="18"/>
              </w:rPr>
              <w:t xml:space="preserve">The emergency department identifies opportunities to initiate treatment at the earliest, when the patient is in transit to the organization.</w:t>
            </w:r>
          </w:p>
        </w:tc>
        <w:tc>
          <w:tcPr>
            <w:tcW w:type="pct" w:w="20%"/>
          </w:tcPr>
          <w:p>
            <w:r>
              <w:rPr>
                <w:b w:val="false"/>
                <w:bCs w:val="false"/>
                <w:sz w:val="18"/>
                <w:szCs w:val="18"/>
              </w:rPr>
              <w:t xml:space="preserve">Steps 10, 8, 12</w:t>
            </w:r>
          </w:p>
        </w:tc>
        <w:tc>
          <w:tcPr>
            <w:tcW w:type="pct" w:w="20%"/>
          </w:tcPr>
          <w:p>
            <w:r>
              <w:rPr>
                <w:b w:val="false"/>
                <w:bCs w:val="false"/>
                <w:sz w:val="18"/>
                <w:szCs w:val="18"/>
              </w:rPr>
              <w:t xml:space="preserve">Emergency clinicians identify and advise in-transit treatment; ambulance personnel apply the standing method and hand over on arrival; quality or accreditation coordinator audits</w:t>
            </w:r>
          </w:p>
        </w:tc>
      </w:tr>
      <w:tr>
        <w:tc>
          <w:tcPr>
            <w:tcW w:type="pct" w:w="15%"/>
          </w:tcPr>
          <w:p>
            <w:r>
              <w:rPr>
                <w:b w:val="false"/>
                <w:bCs w:val="false"/>
                <w:sz w:val="18"/>
                <w:szCs w:val="18"/>
              </w:rPr>
              <w:t xml:space="preserve">COP.2.k</w:t>
            </w:r>
          </w:p>
        </w:tc>
        <w:tc>
          <w:tcPr>
            <w:tcW w:type="pct" w:w="45%"/>
          </w:tcPr>
          <w:p>
            <w:r>
              <w:rPr>
                <w:b w:val="false"/>
                <w:bCs w:val="false"/>
                <w:sz w:val="18"/>
                <w:szCs w:val="18"/>
              </w:rPr>
              <w:t xml:space="preserve">The organization manages potential community emergencies, epidemics and other disasters as per a documented plan.</w:t>
            </w:r>
          </w:p>
        </w:tc>
        <w:tc>
          <w:tcPr>
            <w:tcW w:type="pct" w:w="20%"/>
          </w:tcPr>
          <w:p>
            <w:r>
              <w:rPr>
                <w:b w:val="false"/>
                <w:bCs w:val="false"/>
                <w:sz w:val="18"/>
                <w:szCs w:val="18"/>
              </w:rPr>
              <w:t xml:space="preserve">Steps 11, 6, 12</w:t>
            </w:r>
          </w:p>
        </w:tc>
        <w:tc>
          <w:tcPr>
            <w:tcW w:type="pct" w:w="20%"/>
          </w:tcPr>
          <w:p>
            <w:r>
              <w:rPr>
                <w:b w:val="false"/>
                <w:bCs w:val="false"/>
                <w:sz w:val="18"/>
                <w:szCs w:val="18"/>
              </w:rPr>
              <w:t xml:space="preserve">The role named as activator activates, commands and stands down the plan; department heads continue essential services the plan names; Infection Control Team owns HIC.1 notification and IPC outbreak response, not this operational command unless named in both documents; named emergency quality lead includes drills in the quality-assurance review; quality or accreditation coordinator audits; head of the institution is accountable that a documented plan exists and can be activated</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BNSS</w:t>
            </w:r>
          </w:p>
        </w:tc>
        <w:tc>
          <w:tcPr>
            <w:tcW w:type="pct" w:w="75%"/>
          </w:tcPr>
          <w:p>
            <w:r>
              <w:rPr>
                <w:b w:val="false"/>
                <w:bCs w:val="false"/>
                <w:sz w:val="18"/>
                <w:szCs w:val="18"/>
              </w:rPr>
              <w:t xml:space="preserve">Bharatiya Nagarik Suraksha Sanhita, 2023</w:t>
            </w:r>
          </w:p>
        </w:tc>
      </w:tr>
      <w:tr>
        <w:tc>
          <w:tcPr>
            <w:tcW w:type="pct" w:w="25%"/>
          </w:tcPr>
          <w:p>
            <w:r>
              <w:rPr>
                <w:b w:val="false"/>
                <w:bCs w:val="false"/>
                <w:sz w:val="18"/>
                <w:szCs w:val="18"/>
              </w:rPr>
              <w:t xml:space="preserve">DOA</w:t>
            </w:r>
          </w:p>
        </w:tc>
        <w:tc>
          <w:tcPr>
            <w:tcW w:type="pct" w:w="75%"/>
          </w:tcPr>
          <w:p>
            <w:r>
              <w:rPr>
                <w:b w:val="false"/>
                <w:bCs w:val="false"/>
                <w:sz w:val="18"/>
                <w:szCs w:val="18"/>
              </w:rPr>
              <w:t xml:space="preserve">Dead on arrival</w:t>
            </w:r>
          </w:p>
        </w:tc>
      </w:tr>
      <w:tr>
        <w:tc>
          <w:tcPr>
            <w:tcW w:type="pct" w:w="25%"/>
          </w:tcPr>
          <w:p>
            <w:r>
              <w:rPr>
                <w:b w:val="false"/>
                <w:bCs w:val="false"/>
                <w:sz w:val="18"/>
                <w:szCs w:val="18"/>
              </w:rPr>
              <w:t xml:space="preserve">ESI</w:t>
            </w:r>
          </w:p>
        </w:tc>
        <w:tc>
          <w:tcPr>
            <w:tcW w:type="pct" w:w="75%"/>
          </w:tcPr>
          <w:p>
            <w:r>
              <w:rPr>
                <w:b w:val="false"/>
                <w:bCs w:val="false"/>
                <w:sz w:val="18"/>
                <w:szCs w:val="18"/>
              </w:rPr>
              <w:t xml:space="preserve">Emergency Severity Index</w:t>
            </w:r>
          </w:p>
        </w:tc>
      </w:tr>
      <w:tr>
        <w:tc>
          <w:tcPr>
            <w:tcW w:type="pct" w:w="25%"/>
          </w:tcPr>
          <w:p>
            <w:r>
              <w:rPr>
                <w:b w:val="false"/>
                <w:bCs w:val="false"/>
                <w:sz w:val="18"/>
                <w:szCs w:val="18"/>
              </w:rPr>
              <w:t xml:space="preserve">MLC</w:t>
            </w:r>
          </w:p>
        </w:tc>
        <w:tc>
          <w:tcPr>
            <w:tcW w:type="pct" w:w="75%"/>
          </w:tcPr>
          <w:p>
            <w:r>
              <w:rPr>
                <w:b w:val="false"/>
                <w:bCs w:val="false"/>
                <w:sz w:val="18"/>
                <w:szCs w:val="18"/>
              </w:rPr>
              <w:t xml:space="preserve">Medico-legal case</w:t>
            </w:r>
          </w:p>
        </w:tc>
      </w:tr>
      <w:tr>
        <w:tc>
          <w:tcPr>
            <w:tcW w:type="pct" w:w="25%"/>
          </w:tcPr>
          <w:p>
            <w:r>
              <w:rPr>
                <w:b w:val="false"/>
                <w:bCs w:val="false"/>
                <w:sz w:val="18"/>
                <w:szCs w:val="18"/>
              </w:rPr>
              <w:t xml:space="preserve">NDMA</w:t>
            </w:r>
          </w:p>
        </w:tc>
        <w:tc>
          <w:tcPr>
            <w:tcW w:type="pct" w:w="75%"/>
          </w:tcPr>
          <w:p>
            <w:r>
              <w:rPr>
                <w:b w:val="false"/>
                <w:bCs w:val="false"/>
                <w:sz w:val="18"/>
                <w:szCs w:val="18"/>
              </w:rPr>
              <w:t xml:space="preserve">National Disaster Management Authority</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ICT,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provides emergency services, including ambulance, and how it manages disasters: an identified area that can receive an emergency patient; medico-legal work and emergency care that match statute and written guidance; a system of triage that starts the right care; reassessment of those who wait; a documented disposition and an emergency discharge note; a quality-assurance programme that is run; a method for the patient found dead on arrival or who dies within minutes; ambulance access, fitness and in-transit treatment; and a documented plan for community emergencies, epidemics and other disasters.
The chapter intent is that emergency and ambulance services, and the management of disasters, are provided in accordance with written guidance and applicable laws. An emergency area that exists as a labelled room, a triage poster that is not applied, a medico-legal register completed after the patient has left, or a disaster plan that has never been opened, is not that service. This document is the process that makes the intent operational at the door, in the ambulance, and when the hospital itself is the scene.
The registration and admission policy of HMP Foundation already requires that an emergency patient is not turned away untreated, and already owns transfer between organisations. This document is the clinical and operational method those requirements hand to: the emergency area, triage, ambulance, medico-legal case, dead-on-arrival, disaster plan, and the care given there.</w:t>
      </w:r>
    </w:p>
    <w:p>
      <w:pPr>
        <w:pStyle w:val="Heading1"/>
        <w:spacing w:after="150" w:before="300"/>
      </w:pPr>
      <w:r>
        <w:t xml:space="preserve">2. Scope</w:t>
      </w:r>
    </w:p>
    <w:p>
      <w:pPr>
        <w:spacing w:after="150"/>
      </w:pPr>
      <w:r>
        <w:rPr>
          <w:sz w:val="22"/>
          <w:szCs w:val="22"/>
        </w:rPr>
        <w:t xml:space="preserve">This policy applies to the identified emergency area of HMP Foundation, every location from which an emergency patient is received or dispatched, the ambulance or ambulances this hospital uses, the staff who triage, treat, document and dispose of emergency patients, the staff who complete medico-legal documentation, the staff who operate or accompany the ambulance, and the staff named in the disaster, epidemic and community-emergency plan. It binds employed personnel and equally any contracted ambulance or emergency arrangement that operates under this hospital's unique identification number.
It covers: the identified emergency area and the resources that back it; management of medico-legal cases and provision of emergency care in consonance with statute and written guidance; the system of triage that guides initiation of appropriate care; reassessment of patients waiting in the emergency area; documentation of admission, discharge to home or transfer to another organisation, and the emergency discharge note given to the patient; the emergency quality-assurance programme; management of patients found dead on arrival and of patients who die within a few minutes of arrival; access to ambulance services commensurate with the defined scope; fitness, staffing, equipment and emergency medications of the ambulance; initiation of treatment while the patient is in transit; and the documented plan for potential community emergencies, epidemics and other disasters.
Boundaries with other policies of HMP Foundation:
- Registration, the unique identification number, the decision to accept or admit, management when a bed is not available, and transfer-in, transfer-out or referral BETWEEN ORGANISATIONS are governed by the registration, admission and transfer policy of HMP Foundation (AAC.2). AAC.2 owns not turning the emergency patient away untreated and then hands life-stabilising treatment, ambulance operation and the clinical content of emergency care to this document. This policy does not generate the unique identification number, does not write the between-organisation transfer note, and does not restate the bed-non-availability mechanism. A patient transferred out from the emergency area still receives the emergency discharge note this policy requires; the receiving organisation, the acceptance, and the AAC.2 transfer note remain AAC.2's.
- Access to healthcare services prioritised according to clinical need, including a triage or prioritisation method at the emergency area and the out-patient department, is governed by AAC.2.e. That method decides the order in which patients are seen for ACCESS to a service. This policy's system of triage (COP.2.c) guides INITIATION OF APPROPRIATE EMERGENCY CARE in the emergency area — the clinical pathway that starts after, or with, that first sort. The two may use the same local tool. They are not the same act. AAC.2.e does not write emergency clinical protocols; this document does not rewrite hospital-wide access prioritisation.
- Initial assessment of the emergency patient, the documented care plan, interval reassessment of accepted patients, and early-warning signs of deterioration on the ward are governed by the assessment policy of HMP Foundation (AAC.3). AAC.3.e owns recognising deterioration in an accepted in-patient and handing that patient to emergency, critical-care or resuscitation protocols; it does not write those protocols and it is not emergency-department triage. This policy owns the emergency-area triage that starts care, and the reassessment of patients still WAITING in the emergency area (COP.2.d). AAC.3's emergency initial-assessment dataset is completed in this area; this document does not rewrite that dataset.
- Internal transfer from the emergency area to a ward, theatre or intensive-care area of THIS hospital, and the handover method used on that move, are governed by the continuity-of-care policy of HMP Foundation (AAC.7). This policy owns the emergency episode until that internal transfer is handed over, and owns ambulance-to-emergency receipt. AAC.7 does not operate the ambulance.
- The discharge summary given when a patient LEAVES THE ORGANISATION after an in-patient or day-care episode, including leaving against medical advice, is governed by the discharge policy of HMP Foundation (AAC.8). This policy owns the emergency-episode discharge note given when the emergency attendance itself ends in discharge to home, in transfer to another organisation, or in admission (as the note of that emergency episode). AAC.8 is not that emergency note. A patient admitted from the emergency area and later discharged from a ward receives the AAC.8 summary for leaving the organisation; the emergency note at the end of the emergency episode is still this document's.
- The written definition of healthcare services, department scopes and their display are governed by the definition-and-display policy of HMP Foundation (AAC.1). This policy aligns the emergency area and ambulance access to that definition; it does not rewrite the service directory. AAC.1.b's requirement that a defined service have emergency cover is resourcing of the specialty; this policy's identified emergency area is the place that cover is delivered.
- Standard precautions, hand hygiene, personal protective equipment, transmission-based precautions, safe injection and related clinical infection-control practices APPLY in the emergency area and in the ambulance, and are governed by the standard-precautions policy of HMP Foundation (HIC.2, approved). This policy does not restate five moments, PPE sequences, or precaution categories. Staff in this area follow HIC.2.
- The infection-prevention programme's information-education-communication work, participation in community outbreaks and pandemics, and statutory notification of communicable disease are governed by the infection-prevention programme policy of HMP Foundation (HIC.1.d, approved). HIC.1 owns the IPC response and the notification. This policy owns the hospital's OPERATIONAL plan for community emergencies, epidemics and other disasters (COP.2.k) — activation, command, surge, disaster triage, and continuation of essential services, including hazards that are not infection. HIC.1 step 24's outbreak-and-pandemic plan is the IPC component of a public-health emergency; it is not this all-hazards operational plan and is not a substitute for it. The two documents must not disagree on who activates an epidemic response; they are not the same document.
- Alert-organism notification to the Infection Control Team is governed by the infection-surveillance policy of HMP Foundation (HIC.5). Biomedical waste generated in the emergency area or ambulance enters the hospital-wide programme governed by the support-services infection-control policy of HMP Foundation (HIC.3). Neither is restated here.
- Cardio-pulmonary resuscitation — availability, roles, the kit, and post-event analysis — will be governed by the resuscitation policy of HMP Foundation (COP.3, not yet drafted). This policy uses that protocol in the emergency area and ambulance; it does not write it.
- Intensive-care admission criteria, intensive-care bed shortage and intensive-care discharge criteria will be governed by the intensive-care policy of HMP Foundation (COP.6, not yet drafted). A patient admitted from the emergency area to intensive care is handed to that policy; this document does not write intensive-care criteria.
- Two identifiers at the point of care are governed by the uniform-care policy of HMP Foundation (COP.1, not yet drafted). This policy requires those identifiers in the emergency area; it does not invent a third identification system.
- Emergency medications as a medication process — storage, prescription, administration, look-alike/sound-alike — will be governed by the medication policies of HMP Foundation (MOM, not yet drafted). This policy owns that emergency medications are present and usable in the ambulance and the emergency area.
- Facility hazards, fire, and the building-safety response will be governed by the facility-management policies of HMP Foundation (FMS, not yet drafted). This policy owns the operational care plan during a disaster, including continuation of essential clinical services. FMS owns the facility. A fire plan that empties the building without a clinical command is not this document; a clinical disaster plan that ignores the facility is incomplete, and the two are read together.
- The medical record — structure, retention and confidentiality — is governed by the information-management policies of HMP Foundation (IMS, not yet drafted). This policy owns the emergency, medico-legal, ambulance and disaster content written into that record.
- Informed consent generally will be governed by the patient-rights policies of HMP Foundation (PRE, not yet drafted). Emergency care required to preserve life is not delayed for a signature; that rule is this document's, under step 2.</w:t>
      </w:r>
    </w:p>
    <w:p>
      <w:pPr>
        <w:pStyle w:val="Heading1"/>
        <w:spacing w:after="150" w:before="300"/>
      </w:pPr>
      <w:r>
        <w:t xml:space="preserve">3. Policy Statement</w:t>
      </w:r>
    </w:p>
    <w:p>
      <w:pPr>
        <w:spacing w:after="150"/>
      </w:pPr>
      <w:r>
        <w:rPr>
          <w:sz w:val="22"/>
          <w:szCs w:val="22"/>
        </w:rPr>
        <w:t xml:space="preserve">HMP Foundation maintains an identified area, easily accessible, to receive and manage emergency patients, with resources adequate and appropriate for that work.
HMP Foundation manages medico-legal cases and provides emergency care in consonance with statutory requirements and written guidance. Emergency care is not delayed for police arrival or for completion of a form. Medico-legal documentation follows the Bharatiya Nagarik Suraksha Sanhita, 2023 and the State medico-legal rules that apply here, not the Code of Criminal Procedure, 1973 as if it were still in force.
HMP Foundation initiates appropriate emergency care under a system of triage. A queue ordered by time of arrival is not that system.
HMP Foundation reassesses patients waiting in the emergency area as appropriate for a change in status.
HMP Foundation documents admission from the emergency area, discharge to home, or transfer to another organisation, and gives the patient an emergency discharge note for that episode.
HMP Foundation implements an emergency quality-assurance programme. A list of indicators that is never measured is not a programme.
HMP Foundation has a written system for the patient found dead on arrival and the patient who dies within a few minutes of arrival.
HMP Foundation has access to ambulance services commensurate with the healthcare services it has defined. The ambulance is fit for purpose, operated by trained personnel, appropriately equipped, and stocked with the emergency medications this hospital has listed. The emergency department looks for the chance to start treatment while the patient is still in transit.
HMP Foundation manages potential community emergencies, epidemics and other disasters as per a documented operational plan. Infection-prevention notification and the IPC outbreak response remain the infection-prevention programme's; this plan is the hospital's operational command, surge, disaster triage and continuation of essential services.</w:t>
      </w:r>
    </w:p>
    <w:p>
      <w:pPr>
        <w:pStyle w:val="Heading1"/>
        <w:spacing w:after="150" w:before="300"/>
      </w:pPr>
      <w:r>
        <w:t xml:space="preserve">4. Procedure</w:t>
      </w:r>
    </w:p>
    <w:p>
      <w:pPr>
        <w:spacing w:after="90" w:before="240"/>
      </w:pPr>
      <w:r>
        <w:rPr>
          <w:b/>
          <w:bCs/>
          <w:sz w:val="23"/>
          <w:szCs w:val="23"/>
        </w:rPr>
        <w:t xml:space="preserve">1. Identified emergency area and the resources that back it (COP.2.a)</w:t>
      </w:r>
    </w:p>
    <w:p>
      <w:pPr>
        <w:spacing w:after="120"/>
      </w:pPr>
      <w:r>
        <w:rPr>
          <w:sz w:val="22"/>
          <w:szCs w:val="22"/>
        </w:rPr>
        <w:t xml:space="preserve">HMP Foundation maintains an identified area that is easily accessible to receive and manage emergency patients. The area, how a walking patient and an arriving ambulance reach it, and the resources that back it — space, equipment, and the staff present during the hours the service is held out — are [Hospital to define — the identified emergency area, how it is reached, and the resources that back it].</w:t>
      </w:r>
    </w:p>
    <w:p>
      <w:pPr>
        <w:spacing w:after="120"/>
      </w:pPr>
      <w:r>
        <w:rPr>
          <w:sz w:val="22"/>
          <w:szCs w:val="22"/>
        </w:rPr>
        <w:t xml:space="preserve">Adequacy is judged against the emergency work this hospital actually holds out in the service directory, not against a generic casualty department. A room that cannot be found, or that is used as storage, is not an identified emergency area.</w:t>
      </w:r>
    </w:p>
    <w:p>
      <w:pPr>
        <w:spacing w:after="120"/>
      </w:pPr>
      <w:r>
        <w:rPr>
          <w:sz w:val="22"/>
          <w:szCs w:val="22"/>
        </w:rPr>
        <w:t xml:space="preserve">Staffing numbers, ratios and mandated equipment lists are not set in this document. Human-resource verification of qualifications is governed by the human resource policies of HMP Foundation. This step uses that verification.</w:t>
      </w:r>
    </w:p>
    <w:p>
      <w:pPr>
        <w:spacing w:after="120"/>
      </w:pPr>
      <w:r>
        <w:rPr>
          <w:sz w:val="22"/>
          <w:szCs w:val="22"/>
        </w:rPr>
        <w:t xml:space="preserve">This step does not rewrite the service directory. It names the place emergency cover is delivered.</w:t>
      </w:r>
    </w:p>
    <w:p>
      <w:pPr>
        <w:spacing w:after="90" w:before="240"/>
      </w:pPr>
      <w:r>
        <w:rPr>
          <w:b/>
          <w:bCs/>
          <w:sz w:val="23"/>
          <w:szCs w:val="23"/>
        </w:rPr>
        <w:t xml:space="preserve">2. Medico-legal cases and statutory emergency care (COP.2.b, COP.2.g)</w:t>
      </w:r>
    </w:p>
    <w:p>
      <w:pPr>
        <w:spacing w:after="120"/>
      </w:pPr>
      <w:r>
        <w:rPr>
          <w:sz w:val="22"/>
          <w:szCs w:val="22"/>
        </w:rPr>
        <w:t xml:space="preserve">HMP Foundation manages medico-legal cases and provides emergency care in consonance with statutory requirements and in accordance with written guidance. This step is the documented-evidence anchor of a Core requirement the standard asterisks. An assessor will ask how a medico-legal case is recognised and documented, and how emergency care is given when statute and the clock both apply. The answer must be a written method staff use at 2 a.m., not a claim that the medical officer will know.</w:t>
      </w:r>
    </w:p>
    <w:p>
      <w:pPr>
        <w:spacing w:after="120"/>
      </w:pPr>
      <w:r>
        <w:rPr>
          <w:sz w:val="22"/>
          <w:szCs w:val="22"/>
        </w:rPr>
        <w:t xml:space="preserve">Emergency care is given first. The Supreme Court's holding in Pt. Parmanand Katara v Union of India (1989) is the reason this hospital writes the rule that way: preservation of life is not postponed for legal formality. Police intimation, a medico-legal report, or an attendant's argument about where the case "belongs" does not hold the airway, the haemorrhage or the toxin. The common error is the reverse — the patient kept in a corridor until the police arrive, or until a relative agrees to a medico-legal case being registered — and it is forbidden here. Treatment starts under this document; documentation runs in parallel, not in front.</w:t>
      </w:r>
    </w:p>
    <w:p>
      <w:pPr>
        <w:spacing w:after="120"/>
      </w:pPr>
      <w:r>
        <w:rPr>
          <w:sz w:val="22"/>
          <w:szCs w:val="22"/>
        </w:rPr>
        <w:t xml:space="preserve">The presentations this hospital treats as medico-legal cases are [Hospital to define — the written list of presentations treated as medico-legal cases]. The list is this hospital's, aligned to the State medico-legal rules that apply here, and it is the list staff actually use. A copied table that no one can find is not written guidance.</w:t>
      </w:r>
    </w:p>
    <w:p>
      <w:pPr>
        <w:spacing w:after="120"/>
      </w:pPr>
      <w:r>
        <w:rPr>
          <w:sz w:val="22"/>
          <w:szCs w:val="22"/>
        </w:rPr>
        <w:t xml:space="preserve">Who is authorised to complete the medico-legal documentation, including out of hours, is [Hospital to define — who is authorised to complete medico-legal documentation, including out of hours]. A case that waits until the next morning because "only one person signs these" has not been managed in consonance with statute; it has been deferred.</w:t>
      </w:r>
    </w:p>
    <w:p>
      <w:pPr>
        <w:spacing w:after="120"/>
      </w:pPr>
      <w:r>
        <w:rPr>
          <w:sz w:val="22"/>
          <w:szCs w:val="22"/>
        </w:rPr>
        <w:t xml:space="preserve">Police are intimated as the written guidance requires. How they are intimated, and where that intimation is recorded, is [Hospital to define — how police are intimated, and where the intimation is recorded]. Intimation is not a substitute for treatment, and treatment is not a substitute for intimation. Both happen.</w:t>
      </w:r>
    </w:p>
    <w:p>
      <w:pPr>
        <w:spacing w:after="120"/>
      </w:pPr>
      <w:r>
        <w:rPr>
          <w:sz w:val="22"/>
          <w:szCs w:val="22"/>
        </w:rPr>
        <w:t xml:space="preserve">Documentation of injuries, the history as given, the unique identification number, date and time, the findings, the samples or clothing preserved where preservation is required, and the person who examined, is made in the medico-legal record. The corresponding State medico-legal rules that apply to HMP Foundation are [Hospital to define — the corresponding State medico-legal rules that apply to this hospital]. This document does not print a State manual. It requires that the manual in force here is named and followed.</w:t>
      </w:r>
    </w:p>
    <w:p>
      <w:pPr>
        <w:spacing w:after="120"/>
      </w:pPr>
      <w:r>
        <w:rPr>
          <w:sz w:val="22"/>
          <w:szCs w:val="22"/>
        </w:rPr>
        <w:t xml:space="preserve">The Bharatiya Nagarik Suraksha Sanhita, 2023 is the current criminal-procedure statute for medico-legal documentation at national level. The Code of Criminal Procedure, 1973 is not cited in this hospital as if it were still in force. Where a State medico-legal rule still names the 1973 Code, the hospital follows the State rule as currently issued and records that fact in the written guidance; it does not itself revive the 1973 Code.</w:t>
      </w:r>
    </w:p>
    <w:p>
      <w:pPr>
        <w:spacing w:after="120"/>
      </w:pPr>
      <w:r>
        <w:rPr>
          <w:sz w:val="22"/>
          <w:szCs w:val="22"/>
        </w:rPr>
        <w:t xml:space="preserve">The written emergency-care guidance states, in addition, that an emergency patient is stabilised in this area whether or not this hospital will later admit, matching the registration and admission policy's rule that refusal to admit is not refusal to treat a life-threatening emergency. The method of stabilisation is this document's. The decision to admit, transfer or refer remains AAC.2's.</w:t>
      </w:r>
    </w:p>
    <w:p>
      <w:pPr>
        <w:spacing w:after="120"/>
      </w:pPr>
      <w:r>
        <w:rPr>
          <w:sz w:val="22"/>
          <w:szCs w:val="22"/>
        </w:rPr>
        <w:t xml:space="preserve">The medico-legal register and the written emergency-care guidance are held at [Hospital to define — where the medico-legal register and written emergency-care guidance are held].</w:t>
      </w:r>
    </w:p>
    <w:p>
      <w:pPr>
        <w:spacing w:after="120"/>
      </w:pPr>
      <w:r>
        <w:rPr>
          <w:sz w:val="22"/>
          <w:szCs w:val="22"/>
        </w:rPr>
        <w:t xml:space="preserve">Consent for a non-emergency procedure remains under the patient-rights policies of HMP Foundation. This step owns that emergency care required to preserve life is not delayed for a signature.</w:t>
      </w:r>
    </w:p>
    <w:p>
      <w:pPr>
        <w:spacing w:after="90" w:before="240"/>
      </w:pPr>
      <w:r>
        <w:rPr>
          <w:b/>
          <w:bCs/>
          <w:sz w:val="23"/>
          <w:szCs w:val="23"/>
        </w:rPr>
        <w:t xml:space="preserve">3. System of triage that guides initiation of appropriate care (COP.2.c, COP.2.d)</w:t>
      </w:r>
    </w:p>
    <w:p>
      <w:pPr>
        <w:spacing w:after="120"/>
      </w:pPr>
      <w:r>
        <w:rPr>
          <w:sz w:val="22"/>
          <w:szCs w:val="22"/>
        </w:rPr>
        <w:t xml:space="preserve">Initiation of appropriate care in the emergency area is guided by a system of triage. This step is the documented-evidence anchor of a requirement the standard asterisks. An assessor will ask how a sicker emergency patient is treated first, and the answer must be a written system that starts care, not a claim that the doctor will see who looks worse.</w:t>
      </w:r>
    </w:p>
    <w:p>
      <w:pPr>
        <w:spacing w:after="120"/>
      </w:pPr>
      <w:r>
        <w:rPr>
          <w:sz w:val="22"/>
          <w:szCs w:val="22"/>
        </w:rPr>
        <w:t xml:space="preserve">The system exists because an emergency area without a sort treats the loud, the recently arrived, or the person who found a chair nearest the desk. What fails without it is not courtesy. It is the quietly shocked patient, the child with a changing airway, the chest-pain that is waiting behind a suturable wound. The common error is a triage stamp on a sheet and then a single queue in which everyone waits the same wait. A category that does not change what happens next is not a system of triage; it is a label.</w:t>
      </w:r>
    </w:p>
    <w:p>
      <w:pPr>
        <w:spacing w:after="120"/>
      </w:pPr>
      <w:r>
        <w:rPr>
          <w:sz w:val="22"/>
          <w:szCs w:val="22"/>
        </w:rPr>
        <w:t xml:space="preserve">HMP Foundation therefore operates a written triage system in the identified emergency area. The system, its categories, and who applies it are [Hospital to define — the triage system used in the emergency area, its categories, and who applies it]. The Emergency Severity Index (Agency for Healthcare Research and Quality / Emergency Nurses Association implementation handbook, chapter reference 24) and other published emergency-department triage methods (Christ et al., 2010, chapter reference 10) are recognised frameworks this hospital may use. NABH SHCO does not mandate a named scale. This document does not import ESI level times, ATS waiting-time minutes, or any other numeric threshold as a requirement. Expected times, if the hospital chooses to state them, are part of the local system at the placeholder above.</w:t>
      </w:r>
    </w:p>
    <w:p>
      <w:pPr>
        <w:spacing w:after="120"/>
      </w:pPr>
      <w:r>
        <w:rPr>
          <w:sz w:val="22"/>
          <w:szCs w:val="22"/>
        </w:rPr>
        <w:t xml:space="preserve">Triage is applied at arrival, before the patient joins a waiting group as if unassessed. Life-threatening presentation is not queued. The category, the time of assignment, and the person who assigned it are recorded against the unique identification number. The system is re-applied when the waiting patient's condition changes; that re-application is step 4, not a courtesy.</w:t>
      </w:r>
    </w:p>
    <w:p>
      <w:pPr>
        <w:spacing w:after="120"/>
      </w:pPr>
      <w:r>
        <w:rPr>
          <w:sz w:val="22"/>
          <w:szCs w:val="22"/>
        </w:rPr>
        <w:t xml:space="preserve">This system guides INITIATION OF APPROPRIATE CARE: which pathway starts, which clinician is called, which space the patient goes to, and what is not delayed. It is not the same act as AAC.2.e's hospital-wide access prioritisation, which decides the order in which patients are seen for access to a service, including in the out-patient department. The two may share a local tool. Sharing a tool does not merge the documents. AAC.2.e does not write the emergency clinical pathway; this step does not rewrite out-patient queuing.</w:t>
      </w:r>
    </w:p>
    <w:p>
      <w:pPr>
        <w:spacing w:after="120"/>
      </w:pPr>
      <w:r>
        <w:rPr>
          <w:sz w:val="22"/>
          <w:szCs w:val="22"/>
        </w:rPr>
        <w:t xml:space="preserve">Triage is not the AAC.3 emergency initial assessment. Triage starts care; the initial assessment, with that setting's dataset, follows under the assessment policy. Triage is not AAC.3.e's early-warning method on the ward. A deteriorating in-patient is handed to emergency or resuscitation protocols under AAC.3; that patient is not "triaged" by this step unless they have been brought to this area.</w:t>
      </w:r>
    </w:p>
    <w:p>
      <w:pPr>
        <w:spacing w:after="120"/>
      </w:pPr>
      <w:r>
        <w:rPr>
          <w:sz w:val="22"/>
          <w:szCs w:val="22"/>
        </w:rPr>
        <w:t xml:space="preserve">The written triage guidance is held at [Hospital to define — where the written triage guidance is held]. A method staff cannot state, or a poster that is not the method in the record, is a document defect.</w:t>
      </w:r>
    </w:p>
    <w:p>
      <w:pPr>
        <w:spacing w:after="90" w:before="240"/>
      </w:pPr>
      <w:r>
        <w:rPr>
          <w:b/>
          <w:bCs/>
          <w:sz w:val="23"/>
          <w:szCs w:val="23"/>
        </w:rPr>
        <w:t xml:space="preserve">4. Reassessment of patients waiting in the emergency area (COP.2.c, COP.2.d)</w:t>
      </w:r>
    </w:p>
    <w:p>
      <w:pPr>
        <w:spacing w:after="120"/>
      </w:pPr>
      <w:r>
        <w:rPr>
          <w:sz w:val="22"/>
          <w:szCs w:val="22"/>
        </w:rPr>
        <w:t xml:space="preserve">Patients waiting in the emergency area are reassessed as appropriate for the change in status. The reassessment interval for each triage category while waiting is [Hospital to define — the reassessment interval for each triage category while waiting].</w:t>
      </w:r>
    </w:p>
    <w:p>
      <w:pPr>
        <w:spacing w:after="120"/>
      </w:pPr>
      <w:r>
        <w:rPr>
          <w:sz w:val="22"/>
          <w:szCs w:val="22"/>
        </w:rPr>
        <w:t xml:space="preserve">The reassessment is recorded against the unique identification number. It states whether the category still holds or has changed, and the action that follows. A vital-signs entry that no one acts on is not this step.</w:t>
      </w:r>
    </w:p>
    <w:p>
      <w:pPr>
        <w:spacing w:after="120"/>
      </w:pPr>
      <w:r>
        <w:rPr>
          <w:sz w:val="22"/>
          <w:szCs w:val="22"/>
        </w:rPr>
        <w:t xml:space="preserve">A patient whose category worsens is re-triaged under step 3 and care is initiated at the new category. Waiting does not freeze the first stamp.</w:t>
      </w:r>
    </w:p>
    <w:p>
      <w:pPr>
        <w:spacing w:after="120"/>
      </w:pPr>
      <w:r>
        <w:rPr>
          <w:sz w:val="22"/>
          <w:szCs w:val="22"/>
        </w:rPr>
        <w:t xml:space="preserve">This step is the WAITING patient in the emergency area. Interval reassessment of an accepted in-patient is AAC.3.d. Early-warning on the ward is AAC.3.e. Neither is this step.</w:t>
      </w:r>
    </w:p>
    <w:p>
      <w:pPr>
        <w:spacing w:after="120"/>
      </w:pPr>
      <w:r>
        <w:rPr>
          <w:sz w:val="22"/>
          <w:szCs w:val="22"/>
        </w:rPr>
        <w:t xml:space="preserve">This document does not set a mandatory number of minutes. The interval is this hospital's, written, and used.</w:t>
      </w:r>
    </w:p>
    <w:p>
      <w:pPr>
        <w:spacing w:after="90" w:before="240"/>
      </w:pPr>
      <w:r>
        <w:rPr>
          <w:b/>
          <w:bCs/>
          <w:sz w:val="23"/>
          <w:szCs w:val="23"/>
        </w:rPr>
        <w:t xml:space="preserve">5. Disposition documented, and the emergency discharge note (COP.2.e)</w:t>
      </w:r>
    </w:p>
    <w:p>
      <w:pPr>
        <w:spacing w:after="120"/>
      </w:pPr>
      <w:r>
        <w:rPr>
          <w:sz w:val="22"/>
          <w:szCs w:val="22"/>
        </w:rPr>
        <w:t xml:space="preserve">Admission from the emergency area, discharge to home, or transfer to another organisation is documented. A discharge note of the emergency episode is given to the patient.</w:t>
      </w:r>
    </w:p>
    <w:p>
      <w:pPr>
        <w:spacing w:after="120"/>
      </w:pPr>
      <w:r>
        <w:rPr>
          <w:sz w:val="22"/>
          <w:szCs w:val="22"/>
        </w:rPr>
        <w:t xml:space="preserve">The content of that note, and who gives it, are [Hospital to define — the emergency discharge-note content and who gives it]. The note carries at least the unique identification number, the date and time, the presenting problem, the care given in the emergency area, the disposition, and the name of the clinician. A patient who leaves the emergency area without that note has not completed this step.</w:t>
      </w:r>
    </w:p>
    <w:p>
      <w:pPr>
        <w:spacing w:after="120"/>
      </w:pPr>
      <w:r>
        <w:rPr>
          <w:sz w:val="22"/>
          <w:szCs w:val="22"/>
        </w:rPr>
        <w:t xml:space="preserve">Disposition is one of: admitted to a unit of this hospital; discharged to home; or transferred to another organisation. Leaving against medical advice from the emergency area is documented and still receives the note.</w:t>
      </w:r>
    </w:p>
    <w:p>
      <w:pPr>
        <w:spacing w:after="120"/>
      </w:pPr>
      <w:r>
        <w:rPr>
          <w:sz w:val="22"/>
          <w:szCs w:val="22"/>
        </w:rPr>
        <w:t xml:space="preserve">Transfer to another organisation is documented here as the emergency episode's end, and the patient is given this note. The between-organisation transfer itself — receiving organisation, acceptance, and the AAC.2 transfer note — remains the registration and admission policy's. This note does not replace that transfer note, and that transfer note does not replace this note.</w:t>
      </w:r>
    </w:p>
    <w:p>
      <w:pPr>
        <w:spacing w:after="120"/>
      </w:pPr>
      <w:r>
        <w:rPr>
          <w:sz w:val="22"/>
          <w:szCs w:val="22"/>
        </w:rPr>
        <w:t xml:space="preserve">If the patient is admitted and later leaves the organisation from a ward, the AAC.8 discharge summary is given for leaving the organisation. That summary is not this emergency note. This note is the record of the emergency episode given at its end.</w:t>
      </w:r>
    </w:p>
    <w:p>
      <w:pPr>
        <w:spacing w:after="120"/>
      </w:pPr>
      <w:r>
        <w:rPr>
          <w:sz w:val="22"/>
          <w:szCs w:val="22"/>
        </w:rPr>
        <w:t xml:space="preserve">Internal transfer to a ward of this hospital is handed to AAC.7 for the move and the handover method. This step still documents that admission from the emergency area occurred.</w:t>
      </w:r>
    </w:p>
    <w:p>
      <w:pPr>
        <w:spacing w:after="90" w:before="240"/>
      </w:pPr>
      <w:r>
        <w:rPr>
          <w:b/>
          <w:bCs/>
          <w:sz w:val="23"/>
          <w:szCs w:val="23"/>
        </w:rPr>
        <w:t xml:space="preserve">6. Emergency quality-assurance programme (COP.2.f, COP.2.i, COP.2.k)</w:t>
      </w:r>
    </w:p>
    <w:p>
      <w:pPr>
        <w:spacing w:after="120"/>
      </w:pPr>
      <w:r>
        <w:rPr>
          <w:sz w:val="22"/>
          <w:szCs w:val="22"/>
        </w:rPr>
        <w:t xml:space="preserve">HMP Foundation implements a quality-assurance programme for emergency services. A programme that exists as a file and is not run is not implemented. This step is the documented-evidence anchor of a requirement the standard asterisks.</w:t>
      </w:r>
    </w:p>
    <w:p>
      <w:pPr>
        <w:spacing w:after="120"/>
      </w:pPr>
      <w:r>
        <w:rPr>
          <w:sz w:val="22"/>
          <w:szCs w:val="22"/>
        </w:rPr>
        <w:t xml:space="preserve">The programme exists because an emergency area can look busy and still be unsafe: triage categories that never change a pathway, medico-legal records completed from memory the next day, an ambulance whose medications expired last month, a disaster plan last opened for an accreditation visit. What fails without a programme is not a missing certificate. It is the absence of anyone who is required to look. The common error is a list of quality indicators copied from another hospital, never measured, and presented as a programme. That list is not this step.</w:t>
      </w:r>
    </w:p>
    <w:p>
      <w:pPr>
        <w:spacing w:after="120"/>
      </w:pPr>
      <w:r>
        <w:rPr>
          <w:sz w:val="22"/>
          <w:szCs w:val="22"/>
        </w:rPr>
        <w:t xml:space="preserve">HMP Foundation names an emergency quality lead. The named lead is [Hospital to define — the named emergency quality lead]. That person is accountable for the programme running, for the records it produces, and for bringing a finding that care is not matching this document to the head of the institution.</w:t>
      </w:r>
    </w:p>
    <w:p>
      <w:pPr>
        <w:spacing w:after="120"/>
      </w:pPr>
      <w:r>
        <w:rPr>
          <w:sz w:val="22"/>
          <w:szCs w:val="22"/>
        </w:rPr>
        <w:t xml:space="preserve">The indicators the programme measures, and how they are measured, are [Hospital to define — the emergency quality-assurance indicators and how they are measured]. This document does not mandate a turnaround time in minutes, a left-without-being-seen rate, a staffing ratio, or any other numeric threshold. Those values, if used, are this hospital's, written at the placeholder above. A sensible local set looks at whether triage is applied and recorded, whether waiting patients are reassessed, whether medico-legal documentation is complete and contemporaneous, whether the emergency discharge note is given, whether the ambulance checklist is done, and whether the disaster plan has been drilled — and then measures those things, rather than decorating a wall with them.</w:t>
      </w:r>
    </w:p>
    <w:p>
      <w:pPr>
        <w:spacing w:after="120"/>
      </w:pPr>
      <w:r>
        <w:rPr>
          <w:sz w:val="22"/>
          <w:szCs w:val="22"/>
        </w:rPr>
        <w:t xml:space="preserve">Findings are reviewed at [Hospital to define — the forum and interval at which emergency quality-assurance findings are reviewed]. An indicator that is defined and never reviewed is the same defect as an indicator that was never defined.</w:t>
      </w:r>
    </w:p>
    <w:p>
      <w:pPr>
        <w:spacing w:after="120"/>
      </w:pPr>
      <w:r>
        <w:rPr>
          <w:sz w:val="22"/>
          <w:szCs w:val="22"/>
        </w:rPr>
        <w:t xml:space="preserve">Corrective action is recorded when a finding shows a gap. Closing the file without a change in practice is not corrective action.</w:t>
      </w:r>
    </w:p>
    <w:p>
      <w:pPr>
        <w:spacing w:after="120"/>
      </w:pPr>
      <w:r>
        <w:rPr>
          <w:sz w:val="22"/>
          <w:szCs w:val="22"/>
        </w:rPr>
        <w:t xml:space="preserve">This programme is the emergency service's. Laboratory, imaging, infection-surveillance and intensive-care quality-assurance programmes, where they exist, are those documents'. Sharing a quality committee does not merge the programmes.</w:t>
      </w:r>
    </w:p>
    <w:p>
      <w:pPr>
        <w:spacing w:after="120"/>
      </w:pPr>
      <w:r>
        <w:rPr>
          <w:sz w:val="22"/>
          <w:szCs w:val="22"/>
        </w:rPr>
        <w:t xml:space="preserve">Calibration of emergency equipment may be performed by biomedical engineering under the facility policies of HMP Foundation. This step owns that the emergency quality-assurance programme includes whether that equipment is usable, not how the facility performs a calibration.</w:t>
      </w:r>
    </w:p>
    <w:p>
      <w:pPr>
        <w:spacing w:after="90" w:before="240"/>
      </w:pPr>
      <w:r>
        <w:rPr>
          <w:b/>
          <w:bCs/>
          <w:sz w:val="23"/>
          <w:szCs w:val="23"/>
        </w:rPr>
        <w:t xml:space="preserve">7. Dead on arrival, and death within a few minutes of arrival (COP.2.b, COP.2.g)</w:t>
      </w:r>
    </w:p>
    <w:p>
      <w:pPr>
        <w:spacing w:after="120"/>
      </w:pPr>
      <w:r>
        <w:rPr>
          <w:sz w:val="22"/>
          <w:szCs w:val="22"/>
        </w:rPr>
        <w:t xml:space="preserve">HMP Foundation has a written system for the management of patients found dead on arrival and of patients who die within a few minutes of arrival. The procedure is [Hospital to define — the procedure for patients found dead on arrival and patients who die within a few minutes of arrival].</w:t>
      </w:r>
    </w:p>
    <w:p>
      <w:pPr>
        <w:spacing w:after="120"/>
      </w:pPr>
      <w:r>
        <w:rPr>
          <w:sz w:val="22"/>
          <w:szCs w:val="22"/>
        </w:rPr>
        <w:t xml:space="preserve">The procedure names who confirms death, how identity is handled when identity is unknown, how the family is told, how police are intimated when the case is medico-legal under step 2, how the body is moved and held, and what is recorded against a unique identification number. A dead-on-arrival patient is registered; an unregistered body is not a system.</w:t>
      </w:r>
    </w:p>
    <w:p>
      <w:pPr>
        <w:spacing w:after="120"/>
      </w:pPr>
      <w:r>
        <w:rPr>
          <w:sz w:val="22"/>
          <w:szCs w:val="22"/>
        </w:rPr>
        <w:t xml:space="preserve">This document does not define "a few minutes" as a number. The hospital's procedure states how that presentation is recognised and handled. Byrne et al. (2015), chapter reference 8, is cited only as informing that dead-on-arrival needs a defined method; it is not imported as a numeric definition.</w:t>
      </w:r>
    </w:p>
    <w:p>
      <w:pPr>
        <w:spacing w:after="120"/>
      </w:pPr>
      <w:r>
        <w:rPr>
          <w:sz w:val="22"/>
          <w:szCs w:val="22"/>
        </w:rPr>
        <w:t xml:space="preserve">Where death occurs after the patient has been accepted and treated as a patient of this organisation, the clinical case summary including cause of death is governed by the discharge policy of HMP Foundation (AAC.8) and the statutory death certificate by the Registration of Births and Deaths Act, 1969 under that policy. This step owns the emergency-area system for arrival already dead, or death before any meaningful episode of care. The two may both apply; they are not the same act.</w:t>
      </w:r>
    </w:p>
    <w:p>
      <w:pPr>
        <w:spacing w:after="120"/>
      </w:pPr>
      <w:r>
        <w:rPr>
          <w:sz w:val="22"/>
          <w:szCs w:val="22"/>
        </w:rPr>
        <w:t xml:space="preserve">Resuscitation attempted on arrival follows the resuscitation policy of HMP Foundation (COP.3). This step starts when that attempt is not started, or has stopped.</w:t>
      </w:r>
    </w:p>
    <w:p>
      <w:pPr>
        <w:spacing w:after="90" w:before="240"/>
      </w:pPr>
      <w:r>
        <w:rPr>
          <w:b/>
          <w:bCs/>
          <w:sz w:val="23"/>
          <w:szCs w:val="23"/>
        </w:rPr>
        <w:t xml:space="preserve">8. Access to ambulance services commensurate with the defined scope (COP.2.h, COP.2.j)</w:t>
      </w:r>
    </w:p>
    <w:p>
      <w:pPr>
        <w:spacing w:after="120"/>
      </w:pPr>
      <w:r>
        <w:rPr>
          <w:sz w:val="22"/>
          <w:szCs w:val="22"/>
        </w:rPr>
        <w:t xml:space="preserve">HMP Foundation has access to ambulance services commensurate with the healthcare services it provides. How those services are accessed — owned, contracted, or a named public or other provider — and that they match the defined scope, is [Hospital to define — how ambulance services are accessed, and that they match the defined scope].</w:t>
      </w:r>
    </w:p>
    <w:p>
      <w:pPr>
        <w:spacing w:after="120"/>
      </w:pPr>
      <w:r>
        <w:rPr>
          <w:sz w:val="22"/>
          <w:szCs w:val="22"/>
        </w:rPr>
        <w:t xml:space="preserve">A hospital that holds out emergency and in-patient services it cannot move a patient to or from has not matched ambulance access to its scope. A telephone number on a wall that does not in fact produce an ambulance is not access.</w:t>
      </w:r>
    </w:p>
    <w:p>
      <w:pPr>
        <w:spacing w:after="120"/>
      </w:pPr>
      <w:r>
        <w:rPr>
          <w:sz w:val="22"/>
          <w:szCs w:val="22"/>
        </w:rPr>
        <w:t xml:space="preserve">Between-organisation transfer using that ambulance remains AAC.2's clinical decision and transfer note. This step owns that the ambulance can be obtained. Internal movement of a patient from one unit of this hospital to another is AAC.7's and is not this ambulance service unless the hospital has chosen to use the same vehicle for that move, in which case AAC.7 still owns the handover method.</w:t>
      </w:r>
    </w:p>
    <w:p>
      <w:pPr>
        <w:spacing w:after="90" w:before="240"/>
      </w:pPr>
      <w:r>
        <w:rPr>
          <w:b/>
          <w:bCs/>
          <w:sz w:val="23"/>
          <w:szCs w:val="23"/>
        </w:rPr>
        <w:t xml:space="preserve">9. Ambulance fit for purpose, trained personnel, equipment and emergency medications (COP.2.f, COP.2.i)</w:t>
      </w:r>
    </w:p>
    <w:p>
      <w:pPr>
        <w:spacing w:after="120"/>
      </w:pPr>
      <w:r>
        <w:rPr>
          <w:sz w:val="22"/>
          <w:szCs w:val="22"/>
        </w:rPr>
        <w:t xml:space="preserve">The ambulance, or each ambulance this hospital uses, is fit for purpose, operated by trained personnel, appropriately equipped, and stocked so that emergency medications are available in it.</w:t>
      </w:r>
    </w:p>
    <w:p>
      <w:pPr>
        <w:spacing w:after="120"/>
      </w:pPr>
      <w:r>
        <w:rPr>
          <w:sz w:val="22"/>
          <w:szCs w:val="22"/>
        </w:rPr>
        <w:t xml:space="preserve">The equipment and emergency-medication list, and who is trained to operate the ambulance, are [Hospital to define — the ambulance equipment and emergency-medication list, and who is trained to operate the ambulance]. This document does not print a national ambulance-specification table as a mandate. Fitness is judged against the transfers and emergency retrievals this hospital actually undertakes.</w:t>
      </w:r>
    </w:p>
    <w:p>
      <w:pPr>
        <w:spacing w:after="120"/>
      </w:pPr>
      <w:r>
        <w:rPr>
          <w:sz w:val="22"/>
          <w:szCs w:val="22"/>
        </w:rPr>
        <w:t xml:space="preserve">How equipment and medications are checked, and how often, is [Hospital to define — how ambulance equipment and medications are checked and how often]. A sealed cupboard that is never opened is not availability.</w:t>
      </w:r>
    </w:p>
    <w:p>
      <w:pPr>
        <w:spacing w:after="120"/>
      </w:pPr>
      <w:r>
        <w:rPr>
          <w:sz w:val="22"/>
          <w:szCs w:val="22"/>
        </w:rPr>
        <w:t xml:space="preserve">Medication process — storage conditions, expiry control as a pharmacy act, prescription and administration — is governed by the medication policies of HMP Foundation when those documents exist. This step owns that the listed emergency medications are present and usable in the ambulance when it leaves.</w:t>
      </w:r>
    </w:p>
    <w:p>
      <w:pPr>
        <w:spacing w:after="120"/>
      </w:pPr>
      <w:r>
        <w:rPr>
          <w:sz w:val="22"/>
          <w:szCs w:val="22"/>
        </w:rPr>
        <w:t xml:space="preserve">Training and credentials of ambulance personnel are verified under the human resource policies of HMP Foundation. This step uses that verification and names the role that operates the vehicle.</w:t>
      </w:r>
    </w:p>
    <w:p>
      <w:pPr>
        <w:spacing w:after="120"/>
      </w:pPr>
      <w:r>
        <w:rPr>
          <w:sz w:val="22"/>
          <w:szCs w:val="22"/>
        </w:rPr>
        <w:t xml:space="preserve">Infection-control practice in the ambulance follows HIC.2. Reprocessing of reusable devices follows the sterilisation policy of HMP Foundation (HIC.6) where those devices are reprocessed; this step does not write reprocessing.</w:t>
      </w:r>
    </w:p>
    <w:p>
      <w:pPr>
        <w:spacing w:after="90" w:before="240"/>
      </w:pPr>
      <w:r>
        <w:rPr>
          <w:b/>
          <w:bCs/>
          <w:sz w:val="23"/>
          <w:szCs w:val="23"/>
        </w:rPr>
        <w:t xml:space="preserve">10. Initiation of treatment while the patient is in transit (COP.2.j)</w:t>
      </w:r>
    </w:p>
    <w:p>
      <w:pPr>
        <w:spacing w:after="120"/>
      </w:pPr>
      <w:r>
        <w:rPr>
          <w:sz w:val="22"/>
          <w:szCs w:val="22"/>
        </w:rPr>
        <w:t xml:space="preserve">The emergency department identifies opportunities to initiate treatment at the earliest when the patient is in transit to HMP Foundation. How that is done — radio or telephone advice to the ambulance, a standing in-transit protocol the trained personnel apply, or another written method — is [Hospital to define — how the emergency department initiates treatment while the patient is in transit].</w:t>
      </w:r>
    </w:p>
    <w:p>
      <w:pPr>
        <w:spacing w:after="120"/>
      </w:pPr>
      <w:r>
        <w:rPr>
          <w:sz w:val="22"/>
          <w:szCs w:val="22"/>
        </w:rPr>
        <w:t xml:space="preserve">This objective element is Excellence and unasterisked. The treatment here is Tier 2 under the standing rule: requirement and method, without extended rationale.</w:t>
      </w:r>
    </w:p>
    <w:p>
      <w:pPr>
        <w:spacing w:after="120"/>
      </w:pPr>
      <w:r>
        <w:rPr>
          <w:sz w:val="22"/>
          <w:szCs w:val="22"/>
        </w:rPr>
        <w:t xml:space="preserve">In-transit treatment is recorded and handed over on arrival against the unique identification number. Arrival handover from ambulance to emergency staff is this policy's receipt; it is not AAC.7's unit-to-unit handover.</w:t>
      </w:r>
    </w:p>
    <w:p>
      <w:pPr>
        <w:spacing w:after="120"/>
      </w:pPr>
      <w:r>
        <w:rPr>
          <w:sz w:val="22"/>
          <w:szCs w:val="22"/>
        </w:rPr>
        <w:t xml:space="preserve">This step does not import a pre-hospital trauma-triage prediction model (Van Rein et al., 2019, chapter reference 60) or a named ambulance-quality metric set (Turner et al., 2019, chapter reference 57) as a requirement.</w:t>
      </w:r>
    </w:p>
    <w:p>
      <w:pPr>
        <w:spacing w:after="90" w:before="240"/>
      </w:pPr>
      <w:r>
        <w:rPr>
          <w:b/>
          <w:bCs/>
          <w:sz w:val="23"/>
          <w:szCs w:val="23"/>
        </w:rPr>
        <w:t xml:space="preserve">11. Documented plan for community emergencies, epidemics and other disasters (COP.2.f, COP.2.k)</w:t>
      </w:r>
    </w:p>
    <w:p>
      <w:pPr>
        <w:spacing w:after="120"/>
      </w:pPr>
      <w:r>
        <w:rPr>
          <w:sz w:val="22"/>
          <w:szCs w:val="22"/>
        </w:rPr>
        <w:t xml:space="preserve">HMP Foundation manages potential community emergencies, epidemics and other disasters as per a documented plan. This step is the documented-evidence anchor of a requirement the standard asterisks. An assessor will ask to see the plan and how it is activated. A binder titled "disaster" that no named person can open, and that has never been walked through, is not a documented plan that manages anything.</w:t>
      </w:r>
    </w:p>
    <w:p>
      <w:pPr>
        <w:spacing w:after="120"/>
      </w:pPr>
      <w:r>
        <w:rPr>
          <w:sz w:val="22"/>
          <w:szCs w:val="22"/>
        </w:rPr>
        <w:t xml:space="preserve">The plan exists because the hospital will receive, at some point, more than it is staffed for: a mass-casualty on the highway, a flood that cuts the town, a fire in a neighbouring building, or an epidemic that fills the door. What fails without it is command. People treat the patient in front of them, the oxygen runs out in one place while it sits in another, and essential services that were never named as essential stop because nobody was told to keep them. The common error is copying a National Disaster Management Authority template, changing the hospital's name on the cover, and never naming who activates, who commands, or what continues. That copy is not this step.</w:t>
      </w:r>
    </w:p>
    <w:p>
      <w:pPr>
        <w:spacing w:after="120"/>
      </w:pPr>
      <w:r>
        <w:rPr>
          <w:sz w:val="22"/>
          <w:szCs w:val="22"/>
        </w:rPr>
        <w:t xml:space="preserve">The documented plan, including who has the authority to activate it, is [Hospital to define — the documented disaster, epidemic and community-emergency plan, including who activates it]. The plan is all-hazards in the sense that it covers community emergencies, epidemics and other disasters, not infection alone. Hazard-specific annexes may sit under it. The plan states, at minimum:</w:t>
      </w:r>
    </w:p>
    <w:p>
      <w:pPr>
        <w:pStyle w:val="ListParagraph"/>
        <w:numPr>
          <w:ilvl w:val="0"/>
          <w:numId w:val="1"/>
        </w:numPr>
        <w:spacing w:after="60"/>
      </w:pPr>
      <w:r>
        <w:rPr>
          <w:sz w:val="22"/>
          <w:szCs w:val="22"/>
        </w:rPr>
        <w:t xml:space="preserve">what triggers activation, and who activates, by role, including out of hours;</w:t>
      </w:r>
    </w:p>
    <w:p>
      <w:pPr>
        <w:pStyle w:val="ListParagraph"/>
        <w:numPr>
          <w:ilvl w:val="0"/>
          <w:numId w:val="1"/>
        </w:numPr>
        <w:spacing w:after="60"/>
      </w:pPr>
      <w:r>
        <w:rPr>
          <w:sz w:val="22"/>
          <w:szCs w:val="22"/>
        </w:rPr>
        <w:t xml:space="preserve">the operational command structure during activation, by role;</w:t>
      </w:r>
    </w:p>
    <w:p>
      <w:pPr>
        <w:pStyle w:val="ListParagraph"/>
        <w:numPr>
          <w:ilvl w:val="0"/>
          <w:numId w:val="1"/>
        </w:numPr>
        <w:spacing w:after="60"/>
      </w:pPr>
      <w:r>
        <w:rPr>
          <w:sz w:val="22"/>
          <w:szCs w:val="22"/>
        </w:rPr>
        <w:t xml:space="preserve">how arriving patients are sorted under disaster conditions (disaster triage under this document, not the routine triage of step 3 as if the door were ordinary);</w:t>
      </w:r>
    </w:p>
    <w:p>
      <w:pPr>
        <w:pStyle w:val="ListParagraph"/>
        <w:numPr>
          <w:ilvl w:val="0"/>
          <w:numId w:val="1"/>
        </w:numPr>
        <w:spacing w:after="60"/>
      </w:pPr>
      <w:r>
        <w:rPr>
          <w:sz w:val="22"/>
          <w:szCs w:val="22"/>
        </w:rPr>
        <w:t xml:space="preserve">how surge capacity in space, staff and essential supplies would be created;</w:t>
      </w:r>
    </w:p>
    <w:p>
      <w:pPr>
        <w:pStyle w:val="ListParagraph"/>
        <w:numPr>
          <w:ilvl w:val="0"/>
          <w:numId w:val="1"/>
        </w:numPr>
        <w:spacing w:after="60"/>
      </w:pPr>
      <w:r>
        <w:rPr>
          <w:sz w:val="22"/>
          <w:szCs w:val="22"/>
        </w:rPr>
        <w:t xml:space="preserve">which clinical services are essential and how they continue, and which are deferred;</w:t>
      </w:r>
    </w:p>
    <w:p>
      <w:pPr>
        <w:pStyle w:val="ListParagraph"/>
        <w:numPr>
          <w:ilvl w:val="0"/>
          <w:numId w:val="1"/>
        </w:numPr>
        <w:spacing w:after="60"/>
      </w:pPr>
      <w:r>
        <w:rPr>
          <w:sz w:val="22"/>
          <w:szCs w:val="22"/>
        </w:rPr>
        <w:t xml:space="preserve">how the hospital communicates with staff, with patients and families, and with the district or municipal authorities;</w:t>
      </w:r>
    </w:p>
    <w:p>
      <w:pPr>
        <w:pStyle w:val="ListParagraph"/>
        <w:numPr>
          <w:ilvl w:val="0"/>
          <w:numId w:val="1"/>
        </w:numPr>
        <w:spacing w:after="60"/>
      </w:pPr>
      <w:r>
        <w:rPr>
          <w:sz w:val="22"/>
          <w:szCs w:val="22"/>
        </w:rPr>
        <w:t xml:space="preserve">how the plan is stood down.</w:t>
      </w:r>
    </w:p>
    <w:p>
      <w:pPr>
        <w:spacing w:after="120"/>
      </w:pPr>
      <w:r>
        <w:rPr>
          <w:sz w:val="22"/>
          <w:szCs w:val="22"/>
        </w:rPr>
        <w:t xml:space="preserve">How surge capacity and continuation of essential services are created under the plan is [Hospital to define — how surge capacity and continuation of essential services are created under the plan]. This document does not mandate a percentage of extra beds, a staffing ratio, or a number of hours of oxygen. Those values, if used, are this hospital's.</w:t>
      </w:r>
    </w:p>
    <w:p>
      <w:pPr>
        <w:spacing w:after="120"/>
      </w:pPr>
      <w:r>
        <w:rPr>
          <w:sz w:val="22"/>
          <w:szCs w:val="22"/>
        </w:rPr>
        <w:t xml:space="preserve">The Disaster Management Act, 2005 is the national statute under which disaster authorities issue directions this hospital may have to follow. National Disaster Management Authority guidelines (chapter reference 36) are the recognised framework this hospital may use to structure the plan. This document does not import an NDMA checklist as if every item were a NABH numeric mandate.</w:t>
      </w:r>
    </w:p>
    <w:p>
      <w:pPr>
        <w:spacing w:after="120"/>
      </w:pPr>
      <w:r>
        <w:rPr>
          <w:sz w:val="22"/>
          <w:szCs w:val="22"/>
        </w:rPr>
        <w:t xml:space="preserve">Epidemics in this plan are operational: isolation space as surge, screening at the entrance as a flow, continuation of essential non-epidemic services, staffing when staff are themselves unwell. The Epidemic Diseases Act, 1897, as amended by the Epidemic Diseases (Amendment) Act, 2020, is the statute under which State and district authorities may issue epidemic directions this hospital follows. Statutory NOTIFICATION of communicable disease, the IPC outbreak investigation, and the infection-prevention programme's participation in community outbreaks and pandemics remain HIC.1.d. HIC.1 step 24 already holds an outbreak-and-pandemic response plan for the IPC programme. That plan is not this operational all-hazards plan. This step does not rewrite HIC.2 precautions, HIC.1 notification lists, or HIC.5 surveillance definitions. If both documents name an activator for an epidemic, they name the same role or they state how the two activations join. They are not permitted to name two commanders who do not know of each other.</w:t>
      </w:r>
    </w:p>
    <w:p>
      <w:pPr>
        <w:spacing w:after="120"/>
      </w:pPr>
      <w:r>
        <w:rPr>
          <w:sz w:val="22"/>
          <w:szCs w:val="22"/>
        </w:rPr>
        <w:t xml:space="preserve">Facility fire and building-evacuation methods remain the facility-management policies of HMP Foundation. This plan owns operational clinical command during those events.</w:t>
      </w:r>
    </w:p>
    <w:p>
      <w:pPr>
        <w:spacing w:after="120"/>
      </w:pPr>
      <w:r>
        <w:rPr>
          <w:sz w:val="22"/>
          <w:szCs w:val="22"/>
        </w:rPr>
        <w:t xml:space="preserve">The plan is tested at [Hospital to define — the drill or tabletop interval for the disaster plan] by drill or tabletop exercise. Participation and findings are recorded, and the plan is revised when the findings say so. A plan that has never been tested is a document, not a method.</w:t>
      </w:r>
    </w:p>
    <w:p>
      <w:pPr>
        <w:spacing w:after="120"/>
      </w:pPr>
      <w:r>
        <w:rPr>
          <w:sz w:val="22"/>
          <w:szCs w:val="22"/>
        </w:rPr>
        <w:t xml:space="preserve">HIC.2 continues to apply during activation. This step does not suspend hand hygiene or PPE.</w:t>
      </w:r>
    </w:p>
    <w:p>
      <w:pPr>
        <w:spacing w:after="90" w:before="240"/>
      </w:pPr>
      <w:r>
        <w:rPr>
          <w:b/>
          <w:bCs/>
          <w:sz w:val="23"/>
          <w:szCs w:val="23"/>
        </w:rPr>
        <w:t xml:space="preserve">12. Records, review and the order of operations (COP.2.a, COP.2.b, COP.2.c, COP.2.d, COP.2.e, COP.2.f, COP.2.g, COP.2.h, COP.2.i, COP.2.j, COP.2.k)</w:t>
      </w:r>
    </w:p>
    <w:p>
      <w:pPr>
        <w:spacing w:after="120"/>
      </w:pPr>
      <w:r>
        <w:rPr>
          <w:sz w:val="22"/>
          <w:szCs w:val="22"/>
        </w:rPr>
        <w:t xml:space="preserve">Every emergency attendance, triage category, waiting reassessment, medico-legal entry, police intimation, emergency discharge note, ambulance checklist, in-transit treatment record, dead-on-arrival record, quality-assurance finding and disaster-plan activation or drill is recorded against the unique identification number where a patient is involved, and is retrievable.</w:t>
      </w:r>
    </w:p>
    <w:p>
      <w:pPr>
        <w:spacing w:after="120"/>
      </w:pPr>
      <w:r>
        <w:rPr>
          <w:sz w:val="22"/>
          <w:szCs w:val="22"/>
        </w:rPr>
        <w:t xml:space="preserve">The quality or accreditation coordinator audits a sample of these records at [Hospital to define — the audit interval for emergency, ambulance and disaster records] for: an identified emergency area that is in fact the area in use; medico-legal documentation that is contemporaneous and does not show treatment withheld for police; triage applied and recorded rather than a single queue; waiting patients reassessed; an emergency discharge note given at disposition; quality-assurance indicators measured and reviewed rather than listed; dead-on-arrival records that show a system; ambulance access, checks and medications present; in-transit treatment where it was identified; and a disaster plan that has been drilled.</w:t>
      </w:r>
    </w:p>
    <w:p>
      <w:pPr>
        <w:spacing w:after="120"/>
      </w:pPr>
      <w:r>
        <w:rPr>
          <w:sz w:val="22"/>
          <w:szCs w:val="22"/>
        </w:rPr>
        <w:t xml:space="preserve">This policy is reviewed at [Hospital to define — the review interval for this policy], and sooner when a missed triage, a delayed emergency treatment, an incomplete medico-legal record, an ambulance that left without medications, or a disaster or epidemic that exposed a gap, or when the registration, assessment, discharge, infection-prevention, standard-precautions or facility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having an identified emergency area, for emergency care and medico-legal work matching statute and written guidance, for a triage system that starts care, for an emergency quality-assurance programme that is run, and for a documented disaster, epidemic and community-emergency plan that can be activated.
The person in charge of the emergency area holds the written guidance at steps 2 and 3, keeps the area and its resources usable at step 1, operates disposition and the emergency discharge note at step 5, holds the dead-on-arrival procedure at step 7, and stops a practice that does not match this document.
The named emergency quality lead at step 6 operates the quality-assurance programme, records findings and corrective action, and reports at the stated forum.
Staff who triage apply the system at step 3, reassess waiting patients at step 4, and do not run a single queue behind a stamp.
Clinicians who provide emergency care treat first under step 2, complete medico-legal documentation they are authorised to complete, give the emergency discharge note, and remain responsible for the patient until admission, discharge, transfer or another named clinician has taken over.
Staff authorised to complete medico-legal documentation do so contemporaneously, intimate the police as written, and do not delay treatment for that paperwork.
Ambulance personnel, and the emergency staff who advise them, operate the vehicle under steps 8 to 10, complete the equipment and medication check, and record in-transit treatment.
The role named as activating the disaster plan at step 11 activates it, commands under it, and stands it down. Department heads continue essential services the plan names.
The infection control officer and Infection Control Team own statutory notification and the IPC outbreak response under HIC.1; they are not the operational incident commander of step 11 unless the hospital has named them as such in both documents.
The quality or accreditation coordinator audits the records at step 12 and reports findings to the head of the institution.
All staff are expected to treat an emergency patient left untreated for paperwork, a triage category that changed nothing, an ambulance that left without its listed medications, and a disaster plan no one can activate,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Care of Patients chapter, standard COP.2.
- Disaster Management Act, 2005 — insofar as disaster authorities may issue directions a hospital must follow, and as the parent statute of the National Disaster Management Authority guidelines used as a framework for the operational plan at step 11.
- National Disaster Management Authority (NDMA) Guidelines, Government of India — chapter reference 36 of this standard; used here as a recognised framework for structuring a hospital disaster plan. This document does not import an NDMA checklist as a numeric NABH mandate.
- Epidemic Diseases Act, 1897, as amended by the Epidemic Diseases (Amendment) Act, 2020 — insofar as State or district authorities may issue epidemic directions this hospital follows under the operational plan at step 11. Statutory notification of communicable disease remains the infection-prevention programme policy (HIC.1.d).
- Bharatiya Nagarik Suraksha Sanhita, 2023, and corresponding State medico-legal rules — insofar as they govern medico-legal documentation, police intimation and related procedure. The Code of Criminal Procedure, 1973 is not cited as if it were still in force.
- Pt. Parmanand Katara v Union of India (1989) — cited as informing that emergency care is not delayed for legal formality; this document does not treat a judgment as a statute and does not print a protocol from it.
- National Medical Commission Act, 2019 — insofar as registered medical practitioners are professionally obliged to provide emergency care; the credentialing method remains the human resource policies.
- Christ, M., Grossmann, F., Winter, D., Bingisser, R., and Platz, E. (2010), Modern Triage in the Emergency Department — chapter reference 10; cited as informing that a system of triage exists. This document does not mandate that paper's method.
- Agency for Healthcare Research and Quality / Emergency Nurses Association, Emergency Severity Index Implementation Handbook (Version 4, 2020) — chapter reference 24; a recognised triage framework this hospital may use; not mandated; no ESI level time is imported as a requirement.
- Byrne, J. P., et al. (2015), Redefining "dead on arrival" — chapter reference 8; cited as informing that dead-on-arrival needs a defined method; no numeric definition is imported.
- Reay, G., et al. (2019), Transition in Care from EMS Providers to Emergency Department Nurses — chapter reference 45; cited as informing that ambulance-to-emergency receipt is a defined handover; the method is this hospital's. Unit-to-unit handover inside this hospital remains AAC.7.
- Turner, J., et al. (2019), PhOEBE ambulance-service quality programme — chapter reference 57; not imported as a metric set.
- Van Rein, E. A., et al. (2019), pre-hospital triage of trauma patients — chapter reference 60; not imported as a mandated prediction model.
- Internal documents of HMP Foundation: the service directory and department scopes of services; the written emergency-care and medico-legal guidance; the triage system; the emergency discharge-note form; the emergency quality-assurance indicators; the dead-on-arrival procedure; the ambulance access arrangement, equipment and medication lists and check records; the in-transit treatment method; the documented disaster, epidemic and community-emergency plan and drill records; the registration, admission and transfer policy; the assessment policy; the continuity-of-care policy; the discharge policy; the infection-prevention programme policy; the standard-precautions policy; the support-services infection-control policy; the infection-surveillance policy; and the facility-management, medication, resuscitation, intensive-care, uniform-care, human-resource and information-management policies as they are issued.</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the emergency area; ambulance personnel and the ambulance bay; reception and the front office; every in-patient ward; nursing administration; the person in charge of the emergency area; the named emergency quality lead; the role that activates the disaster plan; the Infection Control Team (for the epidemic interface with HIC.1); and every head of department named in the disaster plan as continuing an essential service.
The current version is available to all staff at [Hospital to define — intranet location or nursing station folder]. The triage guidance, the medico-legal register, the emergency discharge-note form, the ambulance checklist and the disaster plan — the working documents this policy requires — are held in the emergency area and with the ambulance.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COP.2.a — There shall be an identified area in the organization, which is easily accessible to receive and manage emergency patients, with adequate and appropriate resources.</w:t>
      </w:r>
    </w:p>
    <w:p>
      <w:pPr>
        <w:pStyle w:val="ListParagraph"/>
        <w:numPr>
          <w:ilvl w:val="0"/>
          <w:numId w:val="1"/>
        </w:numPr>
        <w:spacing w:after="60"/>
      </w:pPr>
      <w:r>
        <w:rPr>
          <w:sz w:val="22"/>
          <w:szCs w:val="22"/>
        </w:rPr>
        <w:t xml:space="preserve">The written identification of the emergency area, how a walking patient and an arriving ambulance reach it, and the resources that back it</w:t>
      </w:r>
    </w:p>
    <w:p>
      <w:pPr>
        <w:pStyle w:val="ListParagraph"/>
        <w:numPr>
          <w:ilvl w:val="0"/>
          <w:numId w:val="1"/>
        </w:numPr>
        <w:spacing w:after="60"/>
      </w:pPr>
      <w:r>
        <w:rPr>
          <w:sz w:val="22"/>
          <w:szCs w:val="22"/>
        </w:rPr>
        <w:t xml:space="preserve">records showing that area is the area in use rather than a labelled store</w:t>
      </w:r>
    </w:p>
    <w:p>
      <w:pPr>
        <w:pStyle w:val="ListParagraph"/>
        <w:numPr>
          <w:ilvl w:val="0"/>
          <w:numId w:val="1"/>
        </w:numPr>
        <w:spacing w:after="60"/>
      </w:pPr>
      <w:r>
        <w:rPr>
          <w:sz w:val="22"/>
          <w:szCs w:val="22"/>
        </w:rPr>
        <w:t xml:space="preserve">the audit sample at step 12 of the identified area</w:t>
      </w:r>
    </w:p>
    <w:p>
      <w:pPr>
        <w:spacing w:after="90" w:before="200"/>
      </w:pPr>
      <w:r>
        <w:rPr>
          <w:b/>
          <w:bCs/>
          <w:sz w:val="22"/>
          <w:szCs w:val="22"/>
        </w:rPr>
        <w:t xml:space="preserve">COP.2.b — The organization manages medico-legal cases and provides emergency care in consonance with statutory requirements and in accordance with written guidance.</w:t>
      </w:r>
    </w:p>
    <w:p>
      <w:pPr>
        <w:pStyle w:val="ListParagraph"/>
        <w:numPr>
          <w:ilvl w:val="0"/>
          <w:numId w:val="1"/>
        </w:numPr>
        <w:spacing w:after="60"/>
      </w:pPr>
      <w:r>
        <w:rPr>
          <w:sz w:val="22"/>
          <w:szCs w:val="22"/>
        </w:rPr>
        <w:t xml:space="preserve">The written emergency-care guidance stating that treatment is not delayed for police arrival, for completion of a medico-legal form, or for an attendant's agreement to register a medico-legal case, and that documentation runs in parallel</w:t>
      </w:r>
    </w:p>
    <w:p>
      <w:pPr>
        <w:pStyle w:val="ListParagraph"/>
        <w:numPr>
          <w:ilvl w:val="0"/>
          <w:numId w:val="1"/>
        </w:numPr>
        <w:spacing w:after="60"/>
      </w:pPr>
      <w:r>
        <w:rPr>
          <w:sz w:val="22"/>
          <w:szCs w:val="22"/>
        </w:rPr>
        <w:t xml:space="preserve">the written list of presentations treated as medico-legal cases, dated, and showing it is this hospital's list aligned to the named State medico-legal rules rather than an unadapted copy</w:t>
      </w:r>
    </w:p>
    <w:p>
      <w:pPr>
        <w:pStyle w:val="ListParagraph"/>
        <w:numPr>
          <w:ilvl w:val="0"/>
          <w:numId w:val="1"/>
        </w:numPr>
        <w:spacing w:after="60"/>
      </w:pPr>
      <w:r>
        <w:rPr>
          <w:sz w:val="22"/>
          <w:szCs w:val="22"/>
        </w:rPr>
        <w:t xml:space="preserve">the named roles authorised to complete medico-legal documentation including out of hours, with records showing a case was not left until the next morning for want of a signatory</w:t>
      </w:r>
    </w:p>
    <w:p>
      <w:pPr>
        <w:pStyle w:val="ListParagraph"/>
        <w:numPr>
          <w:ilvl w:val="0"/>
          <w:numId w:val="1"/>
        </w:numPr>
        <w:spacing w:after="60"/>
      </w:pPr>
      <w:r>
        <w:rPr>
          <w:sz w:val="22"/>
          <w:szCs w:val="22"/>
        </w:rPr>
        <w:t xml:space="preserve">sample medico-legal records showing the unique identification number, date and time, history as given, findings, injuries documented, samples or clothing preserved where preservation was required, and the person who examined, made contemporaneously rather than reconstructed the next day</w:t>
      </w:r>
    </w:p>
    <w:p>
      <w:pPr>
        <w:pStyle w:val="ListParagraph"/>
        <w:numPr>
          <w:ilvl w:val="0"/>
          <w:numId w:val="1"/>
        </w:numPr>
        <w:spacing w:after="60"/>
      </w:pPr>
      <w:r>
        <w:rPr>
          <w:sz w:val="22"/>
          <w:szCs w:val="22"/>
        </w:rPr>
        <w:t xml:space="preserve">police-intimation records showing the method used and the location of the record, and showing intimation was made without substituting for treatment</w:t>
      </w:r>
    </w:p>
    <w:p>
      <w:pPr>
        <w:pStyle w:val="ListParagraph"/>
        <w:numPr>
          <w:ilvl w:val="0"/>
          <w:numId w:val="1"/>
        </w:numPr>
        <w:spacing w:after="60"/>
      </w:pPr>
      <w:r>
        <w:rPr>
          <w:sz w:val="22"/>
          <w:szCs w:val="22"/>
        </w:rPr>
        <w:t xml:space="preserve">the named State medico-legal rules that apply to this hospital, held with the written guidance</w:t>
      </w:r>
    </w:p>
    <w:p>
      <w:pPr>
        <w:pStyle w:val="ListParagraph"/>
        <w:numPr>
          <w:ilvl w:val="0"/>
          <w:numId w:val="1"/>
        </w:numPr>
        <w:spacing w:after="60"/>
      </w:pPr>
      <w:r>
        <w:rPr>
          <w:sz w:val="22"/>
          <w:szCs w:val="22"/>
        </w:rPr>
        <w:t xml:space="preserve">records showing the Bharatiya Nagarik Suraksha Sanhita, 2023 (and those State rules) cited as the procedure in force, and the Code of Criminal Procedure, 1973 not cited as if it were still in force</w:t>
      </w:r>
    </w:p>
    <w:p>
      <w:pPr>
        <w:pStyle w:val="ListParagraph"/>
        <w:numPr>
          <w:ilvl w:val="0"/>
          <w:numId w:val="1"/>
        </w:numPr>
        <w:spacing w:after="60"/>
      </w:pPr>
      <w:r>
        <w:rPr>
          <w:sz w:val="22"/>
          <w:szCs w:val="22"/>
        </w:rPr>
        <w:t xml:space="preserve">sample emergency records showing life-stabilising treatment given in this area whether or not the patient was later admitted, matching the registration and admission policy's rule that refusal to admit is not refusal to treat, with the method of stabilisation recorded here rather than in AAC.2</w:t>
      </w:r>
    </w:p>
    <w:p>
      <w:pPr>
        <w:pStyle w:val="ListParagraph"/>
        <w:numPr>
          <w:ilvl w:val="0"/>
          <w:numId w:val="1"/>
        </w:numPr>
        <w:spacing w:after="60"/>
      </w:pPr>
      <w:r>
        <w:rPr>
          <w:sz w:val="22"/>
          <w:szCs w:val="22"/>
        </w:rPr>
        <w:t xml:space="preserve">the location of the medico-legal register and the written emergency-care guidance</w:t>
      </w:r>
    </w:p>
    <w:p>
      <w:pPr>
        <w:pStyle w:val="ListParagraph"/>
        <w:numPr>
          <w:ilvl w:val="0"/>
          <w:numId w:val="1"/>
        </w:numPr>
        <w:spacing w:after="60"/>
      </w:pPr>
      <w:r>
        <w:rPr>
          <w:sz w:val="22"/>
          <w:szCs w:val="22"/>
        </w:rPr>
        <w:t xml:space="preserve">induction or briefing records showing emergency staff have been shown that guidance, including the rule that emergency care required to preserve life is not delayed for a signature</w:t>
      </w:r>
    </w:p>
    <w:p>
      <w:pPr>
        <w:pStyle w:val="ListParagraph"/>
        <w:numPr>
          <w:ilvl w:val="0"/>
          <w:numId w:val="1"/>
        </w:numPr>
        <w:spacing w:after="60"/>
      </w:pPr>
      <w:r>
        <w:rPr>
          <w:sz w:val="22"/>
          <w:szCs w:val="22"/>
        </w:rPr>
        <w:t xml:space="preserve">dead-on-arrival records at step 7 that use this medico-legal route when the case is medico-legal</w:t>
      </w:r>
    </w:p>
    <w:p>
      <w:pPr>
        <w:pStyle w:val="ListParagraph"/>
        <w:numPr>
          <w:ilvl w:val="0"/>
          <w:numId w:val="1"/>
        </w:numPr>
        <w:spacing w:after="60"/>
      </w:pPr>
      <w:r>
        <w:rPr>
          <w:sz w:val="22"/>
          <w:szCs w:val="22"/>
        </w:rPr>
        <w:t xml:space="preserve">the audit sample at step 12 of contemporaneous medico-legal documentation and of treatment not withheld for police</w:t>
      </w:r>
    </w:p>
    <w:p>
      <w:pPr>
        <w:spacing w:after="90" w:before="200"/>
      </w:pPr>
      <w:r>
        <w:rPr>
          <w:b/>
          <w:bCs/>
          <w:sz w:val="22"/>
          <w:szCs w:val="22"/>
        </w:rPr>
        <w:t xml:space="preserve">COP.2.c — Initiation of appropriate care is guided by a system of triage.</w:t>
      </w:r>
    </w:p>
    <w:p>
      <w:pPr>
        <w:pStyle w:val="ListParagraph"/>
        <w:numPr>
          <w:ilvl w:val="0"/>
          <w:numId w:val="1"/>
        </w:numPr>
        <w:spacing w:after="60"/>
      </w:pPr>
      <w:r>
        <w:rPr>
          <w:sz w:val="22"/>
          <w:szCs w:val="22"/>
        </w:rPr>
        <w:t xml:space="preserve">The written triage system used in the emergency area, naming its categories and who applies it, held as the method staff actually use rather than a poster of a scale that is not in the record</w:t>
      </w:r>
    </w:p>
    <w:p>
      <w:pPr>
        <w:pStyle w:val="ListParagraph"/>
        <w:numPr>
          <w:ilvl w:val="0"/>
          <w:numId w:val="1"/>
        </w:numPr>
        <w:spacing w:after="60"/>
      </w:pPr>
      <w:r>
        <w:rPr>
          <w:sz w:val="22"/>
          <w:szCs w:val="22"/>
        </w:rPr>
        <w:t xml:space="preserve">records showing whether Emergency Severity Index or another published framework was chosen, or a local system, with no claim that NABH SHCO mandates a named scale and with no ESI level time or other numeric waiting-time imported as a requirement</w:t>
      </w:r>
    </w:p>
    <w:p>
      <w:pPr>
        <w:pStyle w:val="ListParagraph"/>
        <w:numPr>
          <w:ilvl w:val="0"/>
          <w:numId w:val="1"/>
        </w:numPr>
        <w:spacing w:after="60"/>
      </w:pPr>
      <w:r>
        <w:rPr>
          <w:sz w:val="22"/>
          <w:szCs w:val="22"/>
        </w:rPr>
        <w:t xml:space="preserve">sample emergency records showing triage applied at arrival against the unique identification number, with the category, the time of assignment and the person who assigned it, and showing life-threatening presentation was not queued</w:t>
      </w:r>
    </w:p>
    <w:p>
      <w:pPr>
        <w:pStyle w:val="ListParagraph"/>
        <w:numPr>
          <w:ilvl w:val="0"/>
          <w:numId w:val="1"/>
        </w:numPr>
        <w:spacing w:after="60"/>
      </w:pPr>
      <w:r>
        <w:rPr>
          <w:sz w:val="22"/>
          <w:szCs w:val="22"/>
        </w:rPr>
        <w:t xml:space="preserve">sample records showing the category changed what happened next — pathway, clinician called, space used — rather than a stamp followed by a single queue</w:t>
      </w:r>
    </w:p>
    <w:p>
      <w:pPr>
        <w:pStyle w:val="ListParagraph"/>
        <w:numPr>
          <w:ilvl w:val="0"/>
          <w:numId w:val="1"/>
        </w:numPr>
        <w:spacing w:after="60"/>
      </w:pPr>
      <w:r>
        <w:rPr>
          <w:sz w:val="22"/>
          <w:szCs w:val="22"/>
        </w:rPr>
        <w:t xml:space="preserve">the written distinction that this system guides initiation of appropriate emergency care and is not AAC.2.e's hospital-wide access prioritisation, even where the local tool is shared, and is not the AAC.3 emergency initial-assessment dataset and is not AAC.3.e's ward early-warning method</w:t>
      </w:r>
    </w:p>
    <w:p>
      <w:pPr>
        <w:pStyle w:val="ListParagraph"/>
        <w:numPr>
          <w:ilvl w:val="0"/>
          <w:numId w:val="1"/>
        </w:numPr>
        <w:spacing w:after="60"/>
      </w:pPr>
      <w:r>
        <w:rPr>
          <w:sz w:val="22"/>
          <w:szCs w:val="22"/>
        </w:rPr>
        <w:t xml:space="preserve">records of re-triage when a waiting patient's condition changed, using step 4</w:t>
      </w:r>
    </w:p>
    <w:p>
      <w:pPr>
        <w:pStyle w:val="ListParagraph"/>
        <w:numPr>
          <w:ilvl w:val="0"/>
          <w:numId w:val="1"/>
        </w:numPr>
        <w:spacing w:after="60"/>
      </w:pPr>
      <w:r>
        <w:rPr>
          <w:sz w:val="22"/>
          <w:szCs w:val="22"/>
        </w:rPr>
        <w:t xml:space="preserve">the location of the written triage guidance</w:t>
      </w:r>
    </w:p>
    <w:p>
      <w:pPr>
        <w:pStyle w:val="ListParagraph"/>
        <w:numPr>
          <w:ilvl w:val="0"/>
          <w:numId w:val="1"/>
        </w:numPr>
        <w:spacing w:after="60"/>
      </w:pPr>
      <w:r>
        <w:rPr>
          <w:sz w:val="22"/>
          <w:szCs w:val="22"/>
        </w:rPr>
        <w:t xml:space="preserve">briefing records of the staff who triage</w:t>
      </w:r>
    </w:p>
    <w:p>
      <w:pPr>
        <w:pStyle w:val="ListParagraph"/>
        <w:numPr>
          <w:ilvl w:val="0"/>
          <w:numId w:val="1"/>
        </w:numPr>
        <w:spacing w:after="60"/>
      </w:pPr>
      <w:r>
        <w:rPr>
          <w:sz w:val="22"/>
          <w:szCs w:val="22"/>
        </w:rPr>
        <w:t xml:space="preserve">the audit sample at step 12 of triage applied and recorded rather than a single queue</w:t>
      </w:r>
    </w:p>
    <w:p>
      <w:pPr>
        <w:spacing w:after="90" w:before="200"/>
      </w:pPr>
      <w:r>
        <w:rPr>
          <w:b/>
          <w:bCs/>
          <w:sz w:val="22"/>
          <w:szCs w:val="22"/>
        </w:rPr>
        <w:t xml:space="preserve">COP.2.d — Patients waiting in the emergency are reassessed as appropriate for the change in status.</w:t>
      </w:r>
    </w:p>
    <w:p>
      <w:pPr>
        <w:pStyle w:val="ListParagraph"/>
        <w:numPr>
          <w:ilvl w:val="0"/>
          <w:numId w:val="1"/>
        </w:numPr>
        <w:spacing w:after="60"/>
      </w:pPr>
      <w:r>
        <w:rPr>
          <w:sz w:val="22"/>
          <w:szCs w:val="22"/>
        </w:rPr>
        <w:t xml:space="preserve">The written reassessment interval for each triage category while waiting</w:t>
      </w:r>
    </w:p>
    <w:p>
      <w:pPr>
        <w:pStyle w:val="ListParagraph"/>
        <w:numPr>
          <w:ilvl w:val="0"/>
          <w:numId w:val="1"/>
        </w:numPr>
        <w:spacing w:after="60"/>
      </w:pPr>
      <w:r>
        <w:rPr>
          <w:sz w:val="22"/>
          <w:szCs w:val="22"/>
        </w:rPr>
        <w:t xml:space="preserve">sample records of waiting patients reassessed against the unique identification number, with category unchanged or re-triaged</w:t>
      </w:r>
    </w:p>
    <w:p>
      <w:pPr>
        <w:pStyle w:val="ListParagraph"/>
        <w:numPr>
          <w:ilvl w:val="0"/>
          <w:numId w:val="1"/>
        </w:numPr>
        <w:spacing w:after="60"/>
      </w:pPr>
      <w:r>
        <w:rPr>
          <w:sz w:val="22"/>
          <w:szCs w:val="22"/>
        </w:rPr>
        <w:t xml:space="preserve">the audit sample at step 12 of waiting-patient reassessment rather than a first stamp left untouched</w:t>
      </w:r>
    </w:p>
    <w:p>
      <w:pPr>
        <w:spacing w:after="90" w:before="200"/>
      </w:pPr>
      <w:r>
        <w:rPr>
          <w:b/>
          <w:bCs/>
          <w:sz w:val="22"/>
          <w:szCs w:val="22"/>
        </w:rPr>
        <w:t xml:space="preserve">COP.2.e — Admission, discharge to home or transfer to another organization is documented, and a discharge note shall be given to the patient.</w:t>
      </w:r>
    </w:p>
    <w:p>
      <w:pPr>
        <w:pStyle w:val="ListParagraph"/>
        <w:numPr>
          <w:ilvl w:val="0"/>
          <w:numId w:val="1"/>
        </w:numPr>
        <w:spacing w:after="60"/>
      </w:pPr>
      <w:r>
        <w:rPr>
          <w:sz w:val="22"/>
          <w:szCs w:val="22"/>
        </w:rPr>
        <w:t xml:space="preserve">The written emergency discharge-note content and who gives it</w:t>
      </w:r>
    </w:p>
    <w:p>
      <w:pPr>
        <w:pStyle w:val="ListParagraph"/>
        <w:numPr>
          <w:ilvl w:val="0"/>
          <w:numId w:val="1"/>
        </w:numPr>
        <w:spacing w:after="60"/>
      </w:pPr>
      <w:r>
        <w:rPr>
          <w:sz w:val="22"/>
          <w:szCs w:val="22"/>
        </w:rPr>
        <w:t xml:space="preserve">sample notes given at admission from the emergency area, at discharge to home, at transfer to another organisation and at leaving against medical advice from the emergency area, each carrying the unique identification number</w:t>
      </w:r>
    </w:p>
    <w:p>
      <w:pPr>
        <w:pStyle w:val="ListParagraph"/>
        <w:numPr>
          <w:ilvl w:val="0"/>
          <w:numId w:val="1"/>
        </w:numPr>
        <w:spacing w:after="60"/>
      </w:pPr>
      <w:r>
        <w:rPr>
          <w:sz w:val="22"/>
          <w:szCs w:val="22"/>
        </w:rPr>
        <w:t xml:space="preserve">records showing the AAC.2 transfer note used in addition when transfer was between organisations, and the AAC.8 summary used in addition when the patient later left the organisation from a ward</w:t>
      </w:r>
    </w:p>
    <w:p>
      <w:pPr>
        <w:pStyle w:val="ListParagraph"/>
        <w:numPr>
          <w:ilvl w:val="0"/>
          <w:numId w:val="1"/>
        </w:numPr>
        <w:spacing w:after="60"/>
      </w:pPr>
      <w:r>
        <w:rPr>
          <w:sz w:val="22"/>
          <w:szCs w:val="22"/>
        </w:rPr>
        <w:t xml:space="preserve">the audit sample at step 12 of an emergency discharge note given at disposition</w:t>
      </w:r>
    </w:p>
    <w:p>
      <w:pPr>
        <w:spacing w:after="90" w:before="200"/>
      </w:pPr>
      <w:r>
        <w:rPr>
          <w:b/>
          <w:bCs/>
          <w:sz w:val="22"/>
          <w:szCs w:val="22"/>
        </w:rPr>
        <w:t xml:space="preserve">COP.2.f — The organization shall implement a quality assurance programme.</w:t>
      </w:r>
    </w:p>
    <w:p>
      <w:pPr>
        <w:pStyle w:val="ListParagraph"/>
        <w:numPr>
          <w:ilvl w:val="0"/>
          <w:numId w:val="1"/>
        </w:numPr>
        <w:spacing w:after="60"/>
      </w:pPr>
      <w:r>
        <w:rPr>
          <w:sz w:val="22"/>
          <w:szCs w:val="22"/>
        </w:rPr>
        <w:t xml:space="preserve">The named emergency quality lead and the accountability of that role for bringing a finding that care does not match this document to the head of the institution</w:t>
      </w:r>
    </w:p>
    <w:p>
      <w:pPr>
        <w:pStyle w:val="ListParagraph"/>
        <w:numPr>
          <w:ilvl w:val="0"/>
          <w:numId w:val="1"/>
        </w:numPr>
        <w:spacing w:after="60"/>
      </w:pPr>
      <w:r>
        <w:rPr>
          <w:sz w:val="22"/>
          <w:szCs w:val="22"/>
        </w:rPr>
        <w:t xml:space="preserve">the written emergency quality-assurance indicators and the method of measurement, showing a local set that is actually measured — including whether triage is applied and recorded, whether waiting patients are reassessed, whether medico-legal documentation is complete and contemporaneous, whether the emergency discharge note is given, whether the ambulance checklist is done, and whether the disaster plan has been drilled — rather than a copied list never reviewed, and showing no mandated turnaround-time minutes, left-without-being-seen rate or staffing ratio as a NABH requirement</w:t>
      </w:r>
    </w:p>
    <w:p>
      <w:pPr>
        <w:pStyle w:val="ListParagraph"/>
        <w:numPr>
          <w:ilvl w:val="0"/>
          <w:numId w:val="1"/>
        </w:numPr>
        <w:spacing w:after="60"/>
      </w:pPr>
      <w:r>
        <w:rPr>
          <w:sz w:val="22"/>
          <w:szCs w:val="22"/>
        </w:rPr>
        <w:t xml:space="preserve">records of measurement against those indicators</w:t>
      </w:r>
    </w:p>
    <w:p>
      <w:pPr>
        <w:pStyle w:val="ListParagraph"/>
        <w:numPr>
          <w:ilvl w:val="0"/>
          <w:numId w:val="1"/>
        </w:numPr>
        <w:spacing w:after="60"/>
      </w:pPr>
      <w:r>
        <w:rPr>
          <w:sz w:val="22"/>
          <w:szCs w:val="22"/>
        </w:rPr>
        <w:t xml:space="preserve">the forum and interval at which findings are reviewed, and review records that include indicators defined and actually discussed</w:t>
      </w:r>
    </w:p>
    <w:p>
      <w:pPr>
        <w:pStyle w:val="ListParagraph"/>
        <w:numPr>
          <w:ilvl w:val="0"/>
          <w:numId w:val="1"/>
        </w:numPr>
        <w:spacing w:after="60"/>
      </w:pPr>
      <w:r>
        <w:rPr>
          <w:sz w:val="22"/>
          <w:szCs w:val="22"/>
        </w:rPr>
        <w:t xml:space="preserve">documented corrective action when a finding showed a gap, rather than filing without a change in practice</w:t>
      </w:r>
    </w:p>
    <w:p>
      <w:pPr>
        <w:pStyle w:val="ListParagraph"/>
        <w:numPr>
          <w:ilvl w:val="0"/>
          <w:numId w:val="1"/>
        </w:numPr>
        <w:spacing w:after="60"/>
      </w:pPr>
      <w:r>
        <w:rPr>
          <w:sz w:val="22"/>
          <w:szCs w:val="22"/>
        </w:rPr>
        <w:t xml:space="preserve">records showing this programme is the emergency service's and is not treated as a substitute for laboratory, imaging, infection-surveillance or intensive-care quality-assurance programmes</w:t>
      </w:r>
    </w:p>
    <w:p>
      <w:pPr>
        <w:pStyle w:val="ListParagraph"/>
        <w:numPr>
          <w:ilvl w:val="0"/>
          <w:numId w:val="1"/>
        </w:numPr>
        <w:spacing w:after="60"/>
      </w:pPr>
      <w:r>
        <w:rPr>
          <w:sz w:val="22"/>
          <w:szCs w:val="22"/>
        </w:rPr>
        <w:t xml:space="preserve">ambulance equipment and medication checks at step 9 included as inputs to this programme</w:t>
      </w:r>
    </w:p>
    <w:p>
      <w:pPr>
        <w:pStyle w:val="ListParagraph"/>
        <w:numPr>
          <w:ilvl w:val="0"/>
          <w:numId w:val="1"/>
        </w:numPr>
        <w:spacing w:after="60"/>
      </w:pPr>
      <w:r>
        <w:rPr>
          <w:sz w:val="22"/>
          <w:szCs w:val="22"/>
        </w:rPr>
        <w:t xml:space="preserve">disaster-plan drill records at step 11 included as inputs to this programme</w:t>
      </w:r>
    </w:p>
    <w:p>
      <w:pPr>
        <w:pStyle w:val="ListParagraph"/>
        <w:numPr>
          <w:ilvl w:val="0"/>
          <w:numId w:val="1"/>
        </w:numPr>
        <w:spacing w:after="60"/>
      </w:pPr>
      <w:r>
        <w:rPr>
          <w:sz w:val="22"/>
          <w:szCs w:val="22"/>
        </w:rPr>
        <w:t xml:space="preserve">the audit sample at step 12 of indicators measured and reviewed rather than listed</w:t>
      </w:r>
    </w:p>
    <w:p>
      <w:pPr>
        <w:spacing w:after="90" w:before="200"/>
      </w:pPr>
      <w:r>
        <w:rPr>
          <w:b/>
          <w:bCs/>
          <w:sz w:val="22"/>
          <w:szCs w:val="22"/>
        </w:rPr>
        <w:t xml:space="preserve">COP.2.g — The organization has systems in place for the management of patients found dead on arrival and patients who die within a few minutes of arrival.</w:t>
      </w:r>
    </w:p>
    <w:p>
      <w:pPr>
        <w:pStyle w:val="ListParagraph"/>
        <w:numPr>
          <w:ilvl w:val="0"/>
          <w:numId w:val="1"/>
        </w:numPr>
        <w:spacing w:after="60"/>
      </w:pPr>
      <w:r>
        <w:rPr>
          <w:sz w:val="22"/>
          <w:szCs w:val="22"/>
        </w:rPr>
        <w:t xml:space="preserve">The written dead-on-arrival and death-within-minutes procedure naming who confirms death, identity when unknown, family communication, police intimation when medico-legal, movement and holding of the body, and the record against a unique identification number</w:t>
      </w:r>
    </w:p>
    <w:p>
      <w:pPr>
        <w:pStyle w:val="ListParagraph"/>
        <w:numPr>
          <w:ilvl w:val="0"/>
          <w:numId w:val="1"/>
        </w:numPr>
        <w:spacing w:after="60"/>
      </w:pPr>
      <w:r>
        <w:rPr>
          <w:sz w:val="22"/>
          <w:szCs w:val="22"/>
        </w:rPr>
        <w:t xml:space="preserve">sample records of registration of a dead-on-arrival patient rather than an unregistered body</w:t>
      </w:r>
    </w:p>
    <w:p>
      <w:pPr>
        <w:pStyle w:val="ListParagraph"/>
        <w:numPr>
          <w:ilvl w:val="0"/>
          <w:numId w:val="1"/>
        </w:numPr>
        <w:spacing w:after="60"/>
      </w:pPr>
      <w:r>
        <w:rPr>
          <w:sz w:val="22"/>
          <w:szCs w:val="22"/>
        </w:rPr>
        <w:t xml:space="preserve">the audit sample at step 12 of dead-on-arrival records that show a system</w:t>
      </w:r>
    </w:p>
    <w:p>
      <w:pPr>
        <w:spacing w:after="90" w:before="200"/>
      </w:pPr>
      <w:r>
        <w:rPr>
          <w:b/>
          <w:bCs/>
          <w:sz w:val="22"/>
          <w:szCs w:val="22"/>
        </w:rPr>
        <w:t xml:space="preserve">COP.2.h — The organization has access to ambulance services commensurate with the scope of services provided by it.</w:t>
      </w:r>
    </w:p>
    <w:p>
      <w:pPr>
        <w:pStyle w:val="ListParagraph"/>
        <w:numPr>
          <w:ilvl w:val="0"/>
          <w:numId w:val="1"/>
        </w:numPr>
        <w:spacing w:after="60"/>
      </w:pPr>
      <w:r>
        <w:rPr>
          <w:sz w:val="22"/>
          <w:szCs w:val="22"/>
        </w:rPr>
        <w:t xml:space="preserve">The written arrangement for accessing ambulance services — owned, contracted, or a named provider — showing alignment with the defined service directory</w:t>
      </w:r>
    </w:p>
    <w:p>
      <w:pPr>
        <w:pStyle w:val="ListParagraph"/>
        <w:numPr>
          <w:ilvl w:val="0"/>
          <w:numId w:val="1"/>
        </w:numPr>
        <w:spacing w:after="60"/>
      </w:pPr>
      <w:r>
        <w:rPr>
          <w:sz w:val="22"/>
          <w:szCs w:val="22"/>
        </w:rPr>
        <w:t xml:space="preserve">records of actual access rather than a telephone number that does not produce a vehicle</w:t>
      </w:r>
    </w:p>
    <w:p>
      <w:pPr>
        <w:pStyle w:val="ListParagraph"/>
        <w:numPr>
          <w:ilvl w:val="0"/>
          <w:numId w:val="1"/>
        </w:numPr>
        <w:spacing w:after="60"/>
      </w:pPr>
      <w:r>
        <w:rPr>
          <w:sz w:val="22"/>
          <w:szCs w:val="22"/>
        </w:rPr>
        <w:t xml:space="preserve">the audit sample at step 12 of ambulance access</w:t>
      </w:r>
    </w:p>
    <w:p>
      <w:pPr>
        <w:spacing w:after="90" w:before="200"/>
      </w:pPr>
      <w:r>
        <w:rPr>
          <w:b/>
          <w:bCs/>
          <w:sz w:val="22"/>
          <w:szCs w:val="22"/>
        </w:rPr>
        <w:t xml:space="preserve">COP.2.i — The ambulance(s) is fit for purpose, is operated by trained personnel, is appropriately equipped, and ensures that emergency medications are available in the ambulance.</w:t>
      </w:r>
    </w:p>
    <w:p>
      <w:pPr>
        <w:pStyle w:val="ListParagraph"/>
        <w:numPr>
          <w:ilvl w:val="0"/>
          <w:numId w:val="1"/>
        </w:numPr>
        <w:spacing w:after="60"/>
      </w:pPr>
      <w:r>
        <w:rPr>
          <w:sz w:val="22"/>
          <w:szCs w:val="22"/>
        </w:rPr>
        <w:t xml:space="preserve">The written ambulance equipment and emergency-medication list and the named trained roles that operate the ambulance</w:t>
      </w:r>
    </w:p>
    <w:p>
      <w:pPr>
        <w:pStyle w:val="ListParagraph"/>
        <w:numPr>
          <w:ilvl w:val="0"/>
          <w:numId w:val="1"/>
        </w:numPr>
        <w:spacing w:after="60"/>
      </w:pPr>
      <w:r>
        <w:rPr>
          <w:sz w:val="22"/>
          <w:szCs w:val="22"/>
        </w:rPr>
        <w:t xml:space="preserve">check records showing equipment and medications present and usable at the stated interval, rather than a sealed cupboard never opened</w:t>
      </w:r>
    </w:p>
    <w:p>
      <w:pPr>
        <w:pStyle w:val="ListParagraph"/>
        <w:numPr>
          <w:ilvl w:val="0"/>
          <w:numId w:val="1"/>
        </w:numPr>
        <w:spacing w:after="60"/>
      </w:pPr>
      <w:r>
        <w:rPr>
          <w:sz w:val="22"/>
          <w:szCs w:val="22"/>
        </w:rPr>
        <w:t xml:space="preserve">human-resource verification of those personnel used, not restated</w:t>
      </w:r>
    </w:p>
    <w:p>
      <w:pPr>
        <w:pStyle w:val="ListParagraph"/>
        <w:numPr>
          <w:ilvl w:val="0"/>
          <w:numId w:val="1"/>
        </w:numPr>
        <w:spacing w:after="60"/>
      </w:pPr>
      <w:r>
        <w:rPr>
          <w:sz w:val="22"/>
          <w:szCs w:val="22"/>
        </w:rPr>
        <w:t xml:space="preserve">the audit sample at step 12 of ambulance checks and medications present</w:t>
      </w:r>
    </w:p>
    <w:p>
      <w:pPr>
        <w:spacing w:after="90" w:before="200"/>
      </w:pPr>
      <w:r>
        <w:rPr>
          <w:b/>
          <w:bCs/>
          <w:sz w:val="22"/>
          <w:szCs w:val="22"/>
        </w:rPr>
        <w:t xml:space="preserve">COP.2.j — The emergency department identifies opportunities to initiate treatment at the earliest, when the patient is in transit to the organization.</w:t>
      </w:r>
    </w:p>
    <w:p>
      <w:pPr>
        <w:pStyle w:val="ListParagraph"/>
        <w:numPr>
          <w:ilvl w:val="0"/>
          <w:numId w:val="1"/>
        </w:numPr>
        <w:spacing w:after="60"/>
      </w:pPr>
      <w:r>
        <w:rPr>
          <w:sz w:val="22"/>
          <w:szCs w:val="22"/>
        </w:rPr>
        <w:t xml:space="preserve">The written method by which the emergency department initiates treatment while the patient is in transit</w:t>
      </w:r>
    </w:p>
    <w:p>
      <w:pPr>
        <w:pStyle w:val="ListParagraph"/>
        <w:numPr>
          <w:ilvl w:val="0"/>
          <w:numId w:val="1"/>
        </w:numPr>
        <w:spacing w:after="60"/>
      </w:pPr>
      <w:r>
        <w:rPr>
          <w:sz w:val="22"/>
          <w:szCs w:val="22"/>
        </w:rPr>
        <w:t xml:space="preserve">sample records of in-transit treatment handed over on arrival against the unique identification number</w:t>
      </w:r>
    </w:p>
    <w:p>
      <w:pPr>
        <w:pStyle w:val="ListParagraph"/>
        <w:numPr>
          <w:ilvl w:val="0"/>
          <w:numId w:val="1"/>
        </w:numPr>
        <w:spacing w:after="60"/>
      </w:pPr>
      <w:r>
        <w:rPr>
          <w:sz w:val="22"/>
          <w:szCs w:val="22"/>
        </w:rPr>
        <w:t xml:space="preserve">the audit sample at step 12 of in-transit treatment where it was identified</w:t>
      </w:r>
    </w:p>
    <w:p>
      <w:pPr>
        <w:spacing w:after="90" w:before="200"/>
      </w:pPr>
      <w:r>
        <w:rPr>
          <w:b/>
          <w:bCs/>
          <w:sz w:val="22"/>
          <w:szCs w:val="22"/>
        </w:rPr>
        <w:t xml:space="preserve">COP.2.k — The organization manages potential community emergencies, epidemics and other disasters as per a documented plan.</w:t>
      </w:r>
    </w:p>
    <w:p>
      <w:pPr>
        <w:pStyle w:val="ListParagraph"/>
        <w:numPr>
          <w:ilvl w:val="0"/>
          <w:numId w:val="1"/>
        </w:numPr>
        <w:spacing w:after="60"/>
      </w:pPr>
      <w:r>
        <w:rPr>
          <w:sz w:val="22"/>
          <w:szCs w:val="22"/>
        </w:rPr>
        <w:t xml:space="preserve">The documented all-hazards operational plan covering community emergencies, epidemics and other disasters, naming who has authority to activate it including out of hours, the operational command structure by role, how arriving patients are sorted under disaster conditions, how surge capacity would be created, which clinical services are essential and how they continue, how the hospital communicates with staff, families and district or municipal authorities, and how the plan is stood down</w:t>
      </w:r>
    </w:p>
    <w:p>
      <w:pPr>
        <w:pStyle w:val="ListParagraph"/>
        <w:numPr>
          <w:ilvl w:val="0"/>
          <w:numId w:val="1"/>
        </w:numPr>
        <w:spacing w:after="60"/>
      </w:pPr>
      <w:r>
        <w:rPr>
          <w:sz w:val="22"/>
          <w:szCs w:val="22"/>
        </w:rPr>
        <w:t xml:space="preserve">the written method for creating surge capacity and continuing essential services, with no mandated extra-bed percentage, staffing ratio or hours of oxygen as a NABH requirement</w:t>
      </w:r>
    </w:p>
    <w:p>
      <w:pPr>
        <w:pStyle w:val="ListParagraph"/>
        <w:numPr>
          <w:ilvl w:val="0"/>
          <w:numId w:val="1"/>
        </w:numPr>
        <w:spacing w:after="60"/>
      </w:pPr>
      <w:r>
        <w:rPr>
          <w:sz w:val="22"/>
          <w:szCs w:val="22"/>
        </w:rPr>
        <w:t xml:space="preserve">records showing National Disaster Management Authority guidelines used as a framework if chosen, not as an imported numeric checklist</w:t>
      </w:r>
    </w:p>
    <w:p>
      <w:pPr>
        <w:pStyle w:val="ListParagraph"/>
        <w:numPr>
          <w:ilvl w:val="0"/>
          <w:numId w:val="1"/>
        </w:numPr>
        <w:spacing w:after="60"/>
      </w:pPr>
      <w:r>
        <w:rPr>
          <w:sz w:val="22"/>
          <w:szCs w:val="22"/>
        </w:rPr>
        <w:t xml:space="preserve">records showing the Disaster Management Act, 2005 and the Epidemic Diseases Act, 1897 as amended 2020 cited as the statutes under which external directions may bind the hospital</w:t>
      </w:r>
    </w:p>
    <w:p>
      <w:pPr>
        <w:pStyle w:val="ListParagraph"/>
        <w:numPr>
          <w:ilvl w:val="0"/>
          <w:numId w:val="1"/>
        </w:numPr>
        <w:spacing w:after="60"/>
      </w:pPr>
      <w:r>
        <w:rPr>
          <w:sz w:val="22"/>
          <w:szCs w:val="22"/>
        </w:rPr>
        <w:t xml:space="preserve">the written division that this plan is operational command, surge, disaster triage and continuation of essential services, while HIC.1.d owns statutory notification, IEC and the IPC outbreak-and-pandemic response, including that HIC.1 step 24 is not a substitute for this plan, and that the two documents name the same epidemic-activation role or state how the two activations join</w:t>
      </w:r>
    </w:p>
    <w:p>
      <w:pPr>
        <w:pStyle w:val="ListParagraph"/>
        <w:numPr>
          <w:ilvl w:val="0"/>
          <w:numId w:val="1"/>
        </w:numPr>
        <w:spacing w:after="60"/>
      </w:pPr>
      <w:r>
        <w:rPr>
          <w:sz w:val="22"/>
          <w:szCs w:val="22"/>
        </w:rPr>
        <w:t xml:space="preserve">facility fire and building-evacuation left to facility-management policies, with this plan owning clinical command during those events</w:t>
      </w:r>
    </w:p>
    <w:p>
      <w:pPr>
        <w:pStyle w:val="ListParagraph"/>
        <w:numPr>
          <w:ilvl w:val="0"/>
          <w:numId w:val="1"/>
        </w:numPr>
        <w:spacing w:after="60"/>
      </w:pPr>
      <w:r>
        <w:rPr>
          <w:sz w:val="22"/>
          <w:szCs w:val="22"/>
        </w:rPr>
        <w:t xml:space="preserve">drill or tabletop records at the stated interval, with participation, findings and resulting revision, rather than a binder never tested</w:t>
      </w:r>
    </w:p>
    <w:p>
      <w:pPr>
        <w:pStyle w:val="ListParagraph"/>
        <w:numPr>
          <w:ilvl w:val="0"/>
          <w:numId w:val="1"/>
        </w:numPr>
        <w:spacing w:after="60"/>
      </w:pPr>
      <w:r>
        <w:rPr>
          <w:sz w:val="22"/>
          <w:szCs w:val="22"/>
        </w:rPr>
        <w:t xml:space="preserve">quality-assurance review of whether the plan has been drilled, under step 6</w:t>
      </w:r>
    </w:p>
    <w:p>
      <w:pPr>
        <w:pStyle w:val="ListParagraph"/>
        <w:numPr>
          <w:ilvl w:val="0"/>
          <w:numId w:val="1"/>
        </w:numPr>
        <w:spacing w:after="60"/>
      </w:pPr>
      <w:r>
        <w:rPr>
          <w:sz w:val="22"/>
          <w:szCs w:val="22"/>
        </w:rPr>
        <w:t xml:space="preserve">the audit sample at step 12 of a disaster plan that has been drilled</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Disaster Management Act, 2005, the Epidemic Diseases Act, 1897 as amended by the Epidemic Diseases (Amendment) Act, 2020, and the Bharatiya Nagarik Suraksha Sanhita, 2023 and corresponding State medico-legal rules insofar as they govern medico-legal documentation.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HMP/COP/POL-2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2026-08-17T10:15:47.876Z</dcterms:created>
  <dcterms:modified xsi:type="dcterms:W3CDTF">2026-08-17T10:15:47.876Z</dcterms:modified>
</cp:coreProperties>
</file>

<file path=docProps/custom.xml><?xml version="1.0" encoding="utf-8"?>
<Properties xmlns="http://schemas.openxmlformats.org/officeDocument/2006/custom-properties" xmlns:vt="http://schemas.openxmlformats.org/officeDocument/2006/docPropsVTypes"/>
</file>