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Disciplinary and Grievance Handling</w:t>
      </w:r>
    </w:p>
    <w:p>
      <w:r>
        <w:t>«Hospital Name» — SOP-HRM.1.i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SOP-HRM.1.i</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handles staff misconduct and staff grievances against written guidance, including interim action to protect patients or staff while a serious matter is investigated, protection of a complainant from retaliation, and escalation if an investigation breaches its stated timeline -- so both are investigated, decided and closed consistently rather than handled case by case with no documented process.</w:t>
            </w:r>
          </w:p>
        </w:tc>
      </w:tr>
    </w:tbl>
    <w:p/>
    <w:tbl>
      <w:tblPr>
        <w:tblStyle w:val="TableGrid"/>
        <w:tblW w:type="auto" w:w="0"/>
        <w:tblLook w:firstColumn="1" w:firstRow="1" w:lastColumn="0" w:lastRow="0" w:noHBand="0" w:noVBand="1" w:val="04A0"/>
      </w:tblPr>
      <w:tblGrid>
        <w:gridCol w:w="8640"/>
      </w:tblGrid>
      <w:tr>
        <w:tc>
          <w:tcPr>
            <w:tcW w:type="dxa" w:w="8640"/>
          </w:tcPr>
          <w:p>
            <w:r>
              <w:t>A staff member reports a serious safety concern about a colleague and worries about retaliation for speaking up. This SOP is what puts in writing, immediately, that retaliation will itself be treated as a disciplinary matter -- not left as an unspoken risk the complainant has to weigh alone.</w:t>
            </w:r>
          </w:p>
        </w:tc>
      </w:tr>
    </w:tbl>
    <w:p/>
    <w:tbl>
      <w:tblPr>
        <w:tblStyle w:val="TableGrid"/>
        <w:tblW w:type="auto" w:w="0"/>
        <w:tblLook w:firstColumn="1" w:firstRow="1" w:lastColumn="0" w:lastRow="0" w:noHBand="0" w:noVBand="1" w:val="04A0"/>
      </w:tblPr>
      <w:tblGrid>
        <w:gridCol w:w="8640"/>
      </w:tblGrid>
      <w:tr>
        <w:tc>
          <w:tcPr>
            <w:tcW w:type="dxa" w:w="8640"/>
          </w:tcPr>
          <w:p>
            <w:r>
              <w:t>We do this because leaving a staff member accused of a serious matter in their normal role while the investigation runs can itself cause harm, and a complainant who fears retaliation for having raised the matter may not come forward at all -- which undermines the investigation before it starts.</w:t>
            </w:r>
          </w:p>
        </w:tc>
      </w:tr>
    </w:tbl>
    <w:p/>
    <w:p>
      <w:r>
        <w:t>To define how «Hospital Name» handles staff misconduct and grievances, including interim action, complainant protection, and escalation of a timeline breach.</w:t>
      </w:r>
    </w:p>
    <w:p>
      <w:pPr>
        <w:pStyle w:val="Heading1"/>
      </w:pPr>
      <w:r>
        <w:t>2. Scope</w:t>
      </w:r>
    </w:p>
    <w:p>
      <w:r>
        <w:rPr>
          <w:i/>
        </w:rPr>
        <w:t xml:space="preserve">Why: </w:t>
      </w:r>
      <w:r>
        <w:t>so every staff member who raises a grievance or is the subject of a disciplinary matter is handled through the same process.</w:t>
      </w:r>
    </w:p>
    <w:p>
      <w:r>
        <w:t>Applies to the HR In-Charge, the Medical Superintendent, and department heads, for every staff member who raises a grievance or is the subject of a disciplinary matter.</w:t>
      </w:r>
    </w:p>
    <w:p>
      <w:pPr>
        <w:pStyle w:val="Heading1"/>
      </w:pPr>
      <w:r>
        <w:t>3. Responsibility</w:t>
      </w:r>
    </w:p>
    <w:p>
      <w:r>
        <w:rPr>
          <w:i/>
        </w:rPr>
        <w:t xml:space="preserve">Why: </w:t>
      </w:r>
      <w:r>
        <w:t>a case with no deadline and no named decision-maker drifts indefinitely, which is unfair to everyone involved.</w:t>
      </w:r>
    </w:p>
    <w:p>
      <w:r>
        <w:rPr>
          <w:b/>
        </w:rPr>
        <w:t xml:space="preserve">HR In-Charge / Personnel Officer: </w:t>
      </w:r>
      <w:r>
        <w:t>Maintains the grievance register and the disciplinary proceedings register, assigns a case number to every new complaint on receipt, and tracks every case against its stated timeline.</w:t>
      </w:r>
    </w:p>
    <w:p>
      <w:r>
        <w:rPr>
          <w:b/>
        </w:rPr>
        <w:t xml:space="preserve">Medical Superintendent: </w:t>
      </w:r>
      <w:r>
        <w:t>Approves the disciplinary and grievance procedure, decides any interim action needed to protect patients or staff during an investigation, chairs or nominates the hearing for serious matters, decides the appeal route, and personally reviews any case that breaches its investigation timeline.</w:t>
      </w:r>
    </w:p>
    <w:p>
      <w:r>
        <w:rPr>
          <w:b/>
        </w:rPr>
        <w:t xml:space="preserve">Department Heads: </w:t>
      </w:r>
      <w:r>
        <w:t>Receive and escalate grievances raised in their department within the stated timeline, and cooperate with any investigation.</w:t>
      </w:r>
    </w:p>
    <w:p>
      <w:pPr>
        <w:pStyle w:val="Heading1"/>
      </w:pPr>
      <w:r>
        <w:t>4. What to do</w:t>
      </w:r>
    </w:p>
    <w:p>
      <w:pPr>
        <w:pStyle w:val="Heading2"/>
      </w:pPr>
      <w:r>
        <w:t>Receive and log</w:t>
      </w:r>
    </w:p>
    <w:p>
      <w:r>
        <w:rPr>
          <w:i/>
        </w:rPr>
        <w:t xml:space="preserve">Why: </w:t>
      </w:r>
      <w:r>
        <w:t>A grievance or a disciplinary matter that is handled verbally, with no case number and no date, cannot later be shown to have followed any consistent process at all.</w:t>
      </w:r>
    </w:p>
    <w:p>
      <w:r>
        <w:t>Every grievance is logged in the grievance register with a unique case number and the date received, on the same day it is reported.</w:t>
      </w:r>
    </w:p>
    <w:p>
      <w:r>
        <w:t>Every disciplinary matter is logged in the disciplinary proceedings register with the same day's date and a brief statement of the alleged conduct.</w:t>
      </w:r>
    </w:p>
    <w:p>
      <w:r>
        <w:t>The HR In-Charge confirms confidentiality applies to both registers from the point of logging.</w:t>
      </w:r>
    </w:p>
    <w:p>
      <w:pPr>
        <w:pStyle w:val="Heading2"/>
      </w:pPr>
      <w:r>
        <w:t>Take interim action for a serious allegation</w:t>
      </w:r>
    </w:p>
    <w:p>
      <w:r>
        <w:rPr>
          <w:i/>
        </w:rPr>
        <w:t xml:space="preserve">Why: </w:t>
      </w:r>
      <w:r>
        <w:t>Leaving a staff member accused of a serious matter -- one that could put a patient or colleague at risk -- in their normal role while the investigation runs can itself cause harm; interim action has to be a deliberate decision made at the point of logging, not an afterthought.</w:t>
      </w:r>
    </w:p>
    <w:p>
      <w:r>
        <w:t>Where the alleged conduct could put a patient or staff member at risk if it continued, the Medical Superintendent decides, at the point the matter is logged, whether interim action -- reassignment, restricted duties, or administrative leave -- is needed pending investigation.</w:t>
      </w:r>
    </w:p>
    <w:p>
      <w:r>
        <w:t>Any interim action taken, and the reason for it, is recorded against the case number; interim action is not a finding of guilt and is stated as such in writing to the staff member.</w:t>
      </w:r>
    </w:p>
    <w:p>
      <w:r>
        <w:t>Interim action is reviewed if the investigation timeline is extended, rather than left in place indefinitely by default.</w:t>
      </w:r>
    </w:p>
    <w:p>
      <w:pPr>
        <w:pStyle w:val="Heading2"/>
      </w:pPr>
      <w:r>
        <w:t>Investigate within a defined timeline, and protect the complainant</w:t>
      </w:r>
    </w:p>
    <w:p>
      <w:r>
        <w:rPr>
          <w:i/>
        </w:rPr>
        <w:t xml:space="preserve">Why: </w:t>
      </w:r>
      <w:r>
        <w:t>An investigation with no deadline tends to drift indefinitely, which is itself unfair to both the complainant and the person being investigated -- and a complainant who fears retaliation may not come forward honestly, or at all.</w:t>
      </w:r>
    </w:p>
    <w:p>
      <w:r>
        <w:t>The procedure states the investigation timeline and who conducts it for each type of matter.</w:t>
      </w:r>
    </w:p>
    <w:p>
      <w:r>
        <w:t>The investigator records the steps taken and the evidence gathered against the case number.</w:t>
      </w:r>
    </w:p>
    <w:p>
      <w:r>
        <w:t>The complainant is informed in writing that retaliation for raising the matter in good faith will itself be treated as a disciplinary matter, and any report of retaliation during the investigation is logged and acted on immediately, separately from the original case.</w:t>
      </w:r>
    </w:p>
    <w:p>
      <w:r>
        <w:t>Where a hearing is required, the Medical Superintendent or nominee convenes it within the stated timeline.</w:t>
      </w:r>
    </w:p>
    <w:p>
      <w:pPr>
        <w:pStyle w:val="Heading2"/>
      </w:pPr>
      <w:r>
        <w:t>Escalate a timeline breach</w:t>
      </w:r>
    </w:p>
    <w:p>
      <w:r>
        <w:rPr>
          <w:i/>
        </w:rPr>
        <w:t xml:space="preserve">Why: </w:t>
      </w:r>
      <w:r>
        <w:t>A case that silently runs past its stated deadline, with nobody above the investigator noticing, defeats the entire point of having a stated timeline in the first place.</w:t>
      </w:r>
    </w:p>
    <w:p>
      <w:r>
        <w:t>Where an investigation is not completed within its stated timeline, the HR In-Charge escalates the case to the Medical Superintendent before the deadline lapses, not after.</w:t>
      </w:r>
    </w:p>
    <w:p>
      <w:r>
        <w:t>The Medical Superintendent either approves a documented extension with a new deadline, or directs that the investigation be concluded immediately on the evidence available.</w:t>
      </w:r>
    </w:p>
    <w:p>
      <w:pPr>
        <w:pStyle w:val="Heading2"/>
      </w:pPr>
      <w:r>
        <w:t>Decide, close, and allow appeal</w:t>
      </w:r>
    </w:p>
    <w:p>
      <w:r>
        <w:rPr>
          <w:i/>
        </w:rPr>
        <w:t xml:space="preserve">Why: </w:t>
      </w:r>
      <w:r>
        <w:t>A case that is decided but never closed in writing, with no stated appeal route, leaves both the organisation and the staff member with no record of how the matter actually ended.</w:t>
      </w:r>
    </w:p>
    <w:p>
      <w:r>
        <w:t>The outcome -- including any penalty, or the grievance resolution, and the closure or continuation of any interim action -- is recorded against the case number with the closure date.</w:t>
      </w:r>
    </w:p>
    <w:p>
      <w:r>
        <w:t>The staff member is informed in writing of the outcome and of the appeal route available to them.</w:t>
      </w:r>
    </w:p>
    <w:p>
      <w:r>
        <w:t>The HR In-Charge confirms the register entry is marked closed only once the appeal window has passed or the appeal is decided.</w:t>
      </w:r>
    </w:p>
    <w:p>
      <w:pPr>
        <w:pStyle w:val="Heading1"/>
      </w:pPr>
      <w:r>
        <w:t>5. Records</w:t>
      </w:r>
    </w:p>
    <w:p>
      <w:r>
        <w:t>This SOP produces and maintains Records 7-10 (see the HRM.1 Records folder).</w:t>
      </w:r>
    </w:p>
    <w:p>
      <w:pPr>
        <w:pStyle w:val="Heading1"/>
      </w:pPr>
      <w:r>
        <w:t>6. Related SOPs</w:t>
      </w:r>
    </w:p>
    <w:p>
      <w:pPr>
        <w:pStyle w:val="ListParagraph"/>
      </w:pPr>
      <w:r>
        <w:t>Policy on Human Resource Planning, Recruitment and Staff Governance (HRM.1)</w:t>
      </w:r>
    </w:p>
    <w:p>
      <w:pPr>
        <w:pStyle w:val="Heading1"/>
      </w:pPr>
      <w:r>
        <w:t>7. Review</w:t>
      </w:r>
    </w:p>
    <w:p>
      <w:r>
        <w:t>This SOP is reviewed at least annually by the Quality Coordinator together with the HR In-Charge, and sooner if a case reveals the timeline or the appeal route was not followed as written, or an interim-action decision was not made or reviewed as this SOP requires.</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Receive and log — HRM.1.i</w:t>
      </w:r>
    </w:p>
    <w:p>
      <w:pPr>
        <w:pStyle w:val="Heading2"/>
      </w:pPr>
      <w:r>
        <w:t>Take interim action for a serious allegation — HRM.1.i</w:t>
      </w:r>
    </w:p>
    <w:p>
      <w:pPr>
        <w:pStyle w:val="Heading2"/>
      </w:pPr>
      <w:r>
        <w:t>Investigate within a defined timeline, and protect the complainant — HRM.1.i</w:t>
      </w:r>
    </w:p>
    <w:p>
      <w:r>
        <w:rPr>
          <w:i/>
        </w:rPr>
        <w:t>Verified source(s):</w:t>
      </w:r>
    </w:p>
    <w:p>
      <w:pPr>
        <w:pStyle w:val="ListParagraph"/>
      </w:pPr>
      <w:r>
        <w:t xml:space="preserve">• </w:t>
      </w:r>
      <w:r>
        <w:t xml:space="preserve">Government of India. (2013). </w:t>
      </w:r>
      <w:hyperlink r:id="rId9">
        <w:r>
          <w:rPr>
            <w:color w:val="0563C1"/>
            <w:u w:val="single"/>
          </w:rPr>
          <w:t>The Sexual Harassment of Women at Workplace (Prevention, Prohibition and Redressal) Act, 2013</w:t>
        </w:r>
      </w:hyperlink>
      <w:r>
        <w:t>, Section 11(4), requires an Internal Committee to complete its inquiry within ninety days. Cited as the real statutory basis for a bounded Indian workplace investigation deadline for harassment complaints specifically; this SOP applies the same discipline -- a stated, enforced timeline -- to disciplinary and grievance matters generally, not as a claim that the 90-day figure governs every case type.</w:t>
      </w:r>
    </w:p>
    <w:p>
      <w:pPr>
        <w:pStyle w:val="Heading2"/>
      </w:pPr>
      <w:r>
        <w:t>Escalate a timeline breach — HRM.1.i</w:t>
      </w:r>
    </w:p>
    <w:p>
      <w:pPr>
        <w:pStyle w:val="Heading2"/>
      </w:pPr>
      <w:r>
        <w:t>Decide, close, and allow appeal — HRM.1.i</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Human Resource Management chapter, standard HRM.1.</w:t>
      </w:r>
    </w:p>
    <w:p>
      <w:pPr>
        <w:pStyle w:val="ListParagraph"/>
      </w:pPr>
      <w:r>
        <w:t xml:space="preserve">• </w:t>
      </w:r>
      <w:r>
        <w:t xml:space="preserve">Government of India. (2013). </w:t>
      </w:r>
      <w:hyperlink r:id="rId9">
        <w:r>
          <w:rPr>
            <w:color w:val="0563C1"/>
            <w:u w:val="single"/>
          </w:rPr>
          <w:t>The Sexual Harassment of Women at Workplace (Prevention, Prohibition and Redressal) Act, 2013</w:t>
        </w:r>
      </w:hyperlink>
      <w:r>
        <w:t>, Section 11(4), requires an Internal Committee to complete its inquiry within ninety days. Cited as the real statutory basis for a bounded Indian workplace investigation deadline for harassment complaints specifically; this SOP applies the same discipline -- a stated, enforced timeline -- to disciplinary and grievance matters generally, not as a claim that the 90-day figure governs every case 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cte.gov.in/Website/PDF/A2013-14.pdf"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