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Staff Well-Being and Occupational Health</w:t>
      </w:r>
    </w:p>
    <w:p>
      <w:r>
        <w:t>«Hospital Name» — SOP-HRM.5.a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SOP-HRM.5.a</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staff health problems and occupational hazards, runs an annual health check for every active staff member with documented findings, provides treatment for workplace-related injuries, and prevents and handles workplace violence. Infection-specific exposure (needlestick, sharps, splash, post-exposure prophylaxis) is owned elsewhere and is not duplicated here.</w:t>
            </w:r>
          </w:p>
        </w:tc>
      </w:tr>
    </w:tbl>
    <w:p/>
    <w:tbl>
      <w:tblPr>
        <w:tblStyle w:val="TableGrid"/>
        <w:tblW w:type="auto" w:w="0"/>
        <w:tblLook w:firstColumn="1" w:firstRow="1" w:lastColumn="0" w:lastRow="0" w:noHBand="0" w:noVBand="1" w:val="04A0"/>
      </w:tblPr>
      <w:tblGrid>
        <w:gridCol w:w="8640"/>
      </w:tblGrid>
      <w:tr>
        <w:tc>
          <w:tcPr>
            <w:tcW w:type="dxa" w:w="8640"/>
          </w:tcPr>
          <w:p>
            <w:r>
              <w:t>A staff member is injured by an aggressive visitor. This SOP is what guarantees immediate first aid, medical assessment and documentation at the hospital's own expense -- not a staff member paying for their own treatment because the incident was never formally logged.</w:t>
            </w:r>
          </w:p>
        </w:tc>
      </w:tr>
    </w:tbl>
    <w:p/>
    <w:tbl>
      <w:tblPr>
        <w:tblStyle w:val="TableGrid"/>
        <w:tblW w:type="auto" w:w="0"/>
        <w:tblLook w:firstColumn="1" w:firstRow="1" w:lastColumn="0" w:lastRow="0" w:noHBand="0" w:noVBand="1" w:val="04A0"/>
      </w:tblPr>
      <w:tblGrid>
        <w:gridCol w:w="8640"/>
      </w:tblGrid>
      <w:tr>
        <w:tc>
          <w:tcPr>
            <w:tcW w:type="dxa" w:w="8640"/>
          </w:tcPr>
          <w:p>
            <w:r>
              <w:t>We do this because a hazard that is never written down is a hazard the hospital has no way of proving it ever addressed, and a staff member injured on the job who has to pay for their own treatment has no protection and the hospital has no record to learn from.</w:t>
            </w:r>
          </w:p>
        </w:tc>
      </w:tr>
    </w:tbl>
    <w:p/>
    <w:p>
      <w:r>
        <w:t>To define how «Hospital Name» identifies staff health problems and occupational hazards, conducts annual health checks, provides treatment for workplace injuries, and prevents and handles workplace violence.</w:t>
      </w:r>
    </w:p>
    <w:p>
      <w:pPr>
        <w:pStyle w:val="Heading1"/>
      </w:pPr>
      <w:r>
        <w:t>2. Scope</w:t>
      </w:r>
    </w:p>
    <w:p>
      <w:r>
        <w:rPr>
          <w:i/>
        </w:rPr>
        <w:t xml:space="preserve">Why: </w:t>
      </w:r>
      <w:r>
        <w:t>so every staff member -- not just those in known high-exposure roles -- is covered by the same occupational health programme.</w:t>
      </w:r>
    </w:p>
    <w:p>
      <w:r>
        <w:t>Applies to the HR In-Charge, the Medical Superintendent, department heads and the Quality Coordinator, for every staff member.</w:t>
      </w:r>
    </w:p>
    <w:p>
      <w:pPr>
        <w:pStyle w:val="Heading1"/>
      </w:pPr>
      <w:r>
        <w:t>3. Responsibility</w:t>
      </w:r>
    </w:p>
    <w:p>
      <w:r>
        <w:rPr>
          <w:i/>
        </w:rPr>
        <w:t xml:space="preserve">Why: </w:t>
      </w:r>
      <w:r>
        <w:t>an injury or hazard nobody documents is one the hospital has no way of learning from or protecting staff against next time.</w:t>
      </w:r>
    </w:p>
    <w:p>
      <w:r>
        <w:rPr>
          <w:b/>
        </w:rPr>
        <w:t xml:space="preserve">Medical Superintendent: </w:t>
      </w:r>
      <w:r>
        <w:t>Approves the occupational health policy and workplace violence measures, ensures treatment is provided for workplace injuries, and reviews violence incidents and prevention effectiveness.</w:t>
      </w:r>
    </w:p>
    <w:p>
      <w:r>
        <w:rPr>
          <w:b/>
        </w:rPr>
        <w:t xml:space="preserve">HR In-Charge / Personnel Officer: </w:t>
      </w:r>
      <w:r>
        <w:t>Maintains the occupational health hazard register and health-check schedule, coordinates annual health checks, and documents workplace injuries and violence incidents.</w:t>
      </w:r>
    </w:p>
    <w:p>
      <w:r>
        <w:rPr>
          <w:b/>
        </w:rPr>
        <w:t xml:space="preserve">Department Heads: </w:t>
      </w:r>
      <w:r>
        <w:t>Report occupational hazards in their areas, ensure staff attend annual health checks, and support the immediate response to a violence incident.</w:t>
      </w:r>
    </w:p>
    <w:p>
      <w:r>
        <w:rPr>
          <w:b/>
        </w:rPr>
        <w:t xml:space="preserve">Quality Coordinator: </w:t>
      </w:r>
      <w:r>
        <w:t>Audits this SOP quarterly.</w:t>
      </w:r>
    </w:p>
    <w:p>
      <w:r>
        <w:rPr>
          <w:b/>
        </w:rPr>
        <w:t xml:space="preserve">All Staff: </w:t>
      </w:r>
      <w:r>
        <w:t>Attend annual health checks, report workplace injuries and violence immediately, and follow the infection-control exposure procedure for infection-specific exposure.</w:t>
      </w:r>
    </w:p>
    <w:p>
      <w:pPr>
        <w:pStyle w:val="Heading1"/>
      </w:pPr>
      <w:r>
        <w:t>4. What to do</w:t>
      </w:r>
    </w:p>
    <w:p>
      <w:pPr>
        <w:pStyle w:val="Heading2"/>
      </w:pPr>
      <w:r>
        <w:t>Identify staff health problems and occupational hazards</w:t>
      </w:r>
    </w:p>
    <w:p>
      <w:r>
        <w:rPr>
          <w:i/>
        </w:rPr>
        <w:t xml:space="preserve">Why: </w:t>
      </w:r>
      <w:r>
        <w:t>A hazard that is never written down is a hazard the hospital has no way of proving it ever addressed, and a health problem that is never identified cannot be acted on before it becomes an injury.</w:t>
      </w:r>
    </w:p>
    <w:p>
      <w:r>
        <w:t>The occupational health programme covers hazard identification in each department, health surveillance for roles with known exposure (radiology, laboratory, operating areas, for example), immunisation status tracking, and mental well-being awareness.</w:t>
      </w:r>
    </w:p>
    <w:p>
      <w:r>
        <w:t>The occupational health hazard register is updated annually or immediately when a new hazard is identified.</w:t>
      </w:r>
    </w:p>
    <w:p>
      <w:r>
        <w:t>Department heads report new hazards as they arise; infection-specific exposure is handled per the infection-control exposure procedure and is not duplicated in this register.</w:t>
      </w:r>
    </w:p>
    <w:p>
      <w:pPr>
        <w:pStyle w:val="Heading2"/>
      </w:pPr>
      <w:r>
        <w:t>Conduct an annual health check for every active staff member</w:t>
      </w:r>
    </w:p>
    <w:p>
      <w:r>
        <w:rPr>
          <w:i/>
        </w:rPr>
        <w:t xml:space="preserve">Why: </w:t>
      </w:r>
      <w:r>
        <w:t>A health check that happens once at hiring and never again cannot catch a condition that develops on the job -- the annual cycle is what makes this a genuine ongoing safeguard rather than a one-time formality.</w:t>
      </w:r>
    </w:p>
    <w:p>
      <w:r>
        <w:t>Every active staff member receives an annual health check: general physical examination, vision and hearing screening where the role requires it, chest X-ray or PPD for high-risk roles, vaccination status review, and any role-specific test defined in the hazard register.</w:t>
      </w:r>
    </w:p>
    <w:p>
      <w:r>
        <w:t>Results are recorded on a standard health-check form and filed in the personnel file.</w:t>
      </w:r>
    </w:p>
    <w:p>
      <w:r>
        <w:t>Abnormal findings are referred for follow-up treatment; a staff member who cannot perform patient-facing duties due to a health finding is reassigned per medical advice until cleared.</w:t>
      </w:r>
    </w:p>
    <w:p>
      <w:pPr>
        <w:pStyle w:val="Heading2"/>
      </w:pPr>
      <w:r>
        <w:t>Provide treatment for workplace-related injuries</w:t>
      </w:r>
    </w:p>
    <w:p>
      <w:r>
        <w:rPr>
          <w:i/>
        </w:rPr>
        <w:t xml:space="preserve">Why: </w:t>
      </w:r>
      <w:r>
        <w:t>A staff member injured on the job who has to pay for their own treatment, or whose injury is never documented, has no legal protection and the hospital has no record to learn from.</w:t>
      </w:r>
    </w:p>
    <w:p>
      <w:r>
        <w:t>Workplace injuries covered include slips and falls, manual handling injuries, chemical exposure (non-infection), and injuries from workplace violence.</w:t>
      </w:r>
    </w:p>
    <w:p>
      <w:r>
        <w:t>The procedure runs immediate first aid, medical assessment, treatment at the hospital's own emergency service or a designated panel doctor, documentation of the injury, and a return-to-work assessment.</w:t>
      </w:r>
    </w:p>
    <w:p>
      <w:r>
        <w:t>Injury records are filed in the personnel file and reported to the Medical Superintendent; a repeat injury in the same area triggers a review of the hazard register.</w:t>
      </w:r>
    </w:p>
    <w:p>
      <w:pPr>
        <w:pStyle w:val="Heading2"/>
      </w:pPr>
      <w:r>
        <w:t>Prevent and handle workplace violence</w:t>
      </w:r>
    </w:p>
    <w:p>
      <w:r>
        <w:rPr>
          <w:i/>
        </w:rPr>
        <w:t xml:space="preserve">Why: </w:t>
      </w:r>
      <w:r>
        <w:t>Waiting for a violent incident to happen before deciding how to respond to it means the response is improvised in the moment it matters most -- prevention and handling measures have to be decided and communicated in advance.</w:t>
      </w:r>
    </w:p>
    <w:p>
      <w:r>
        <w:t>Prevention measures include staff training on de-escalation, visible security measures, restricted access to high-risk areas, and a zero-tolerance policy communicated to patients and visitors.</w:t>
      </w:r>
    </w:p>
    <w:p>
      <w:r>
        <w:t>Handling measures cover an immediate safety response, reporting to the Medical Superintendent and local police where applicable, medical treatment for the injured staff member, incident documentation, support and counselling for affected staff, and a review of prevention measures after every event.</w:t>
      </w:r>
    </w:p>
    <w:p>
      <w:pPr>
        <w:pStyle w:val="Heading1"/>
      </w:pPr>
      <w:r>
        <w:t>5. Records</w:t>
      </w:r>
    </w:p>
    <w:p>
      <w:r>
        <w:t>This SOP produces and maintains Records 1-4 (see the HRM.5 Records folder).</w:t>
      </w:r>
    </w:p>
    <w:p>
      <w:pPr>
        <w:pStyle w:val="Heading1"/>
      </w:pPr>
      <w:r>
        <w:t>6. Related SOPs</w:t>
      </w:r>
    </w:p>
    <w:p>
      <w:pPr>
        <w:pStyle w:val="ListParagraph"/>
      </w:pPr>
      <w:r>
        <w:t>Policy on Staff Well-Being and Occupational Health (HRM.5)</w:t>
      </w:r>
    </w:p>
    <w:p>
      <w:pPr>
        <w:pStyle w:val="Heading1"/>
      </w:pPr>
      <w:r>
        <w:t>7. Review</w:t>
      </w:r>
    </w:p>
    <w:p>
      <w:r>
        <w:t>This SOP is reviewed at least annually by the Quality Coordinator together with the HR In-Charge, and sooner if the quarterly audit finds a health check overdue by more than three months, a workplace injury not treated promptly, or the infection-control exposure procedures change.</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staff health problems and occupational hazards — HRM.5.a</w:t>
      </w:r>
    </w:p>
    <w:p>
      <w:pPr>
        <w:pStyle w:val="Heading2"/>
      </w:pPr>
      <w:r>
        <w:t>Conduct an annual health check for every active staff member — HRM.5.b</w:t>
      </w:r>
    </w:p>
    <w:p>
      <w:pPr>
        <w:pStyle w:val="Heading2"/>
      </w:pPr>
      <w:r>
        <w:t>Provide treatment for workplace-related injuries — HRM.5.c</w:t>
      </w:r>
    </w:p>
    <w:p>
      <w:r>
        <w:rPr>
          <w:i/>
        </w:rPr>
        <w:t>Verified source(s):</w:t>
      </w:r>
    </w:p>
    <w:p>
      <w:pPr>
        <w:pStyle w:val="ListParagraph"/>
      </w:pPr>
      <w:r>
        <w:t xml:space="preserve">• </w:t>
      </w:r>
      <w:r>
        <w:t xml:space="preserve">Government of India. (1923, amended 2017). </w:t>
      </w:r>
      <w:hyperlink r:id="rId9">
        <w:r>
          <w:rPr>
            <w:color w:val="0563C1"/>
            <w:u w:val="single"/>
          </w:rPr>
          <w:t>The Employee's Compensation Act, 1923</w:t>
        </w:r>
      </w:hyperlink>
      <w:r>
        <w:t>. Section 3(1) makes an employer liable to pay compensation for a personal injury caused by an accident in the course of employment; Section 4(2A) requires reimbursement of actual medical expenditure. Referenced as the statutory basis for the injury-treatment duty, alongside the NABH requirement.</w:t>
      </w:r>
    </w:p>
    <w:p>
      <w:pPr>
        <w:pStyle w:val="Heading2"/>
      </w:pPr>
      <w:r>
        <w:t>Prevent and handle workplace violence — HRM.5.d</w:t>
      </w:r>
    </w:p>
    <w:p>
      <w:r>
        <w:rPr>
          <w:i/>
        </w:rPr>
        <w:t>Verified source(s):</w:t>
      </w:r>
    </w:p>
    <w:p>
      <w:pPr>
        <w:pStyle w:val="ListParagraph"/>
      </w:pPr>
      <w:r>
        <w:t xml:space="preserve">• </w:t>
      </w:r>
      <w:r>
        <w:t xml:space="preserve">World Health Organization, International Labour Organization, International Council of Nurses, &amp; Public Services International. (2002). </w:t>
      </w:r>
      <w:hyperlink r:id="rId10">
        <w:r>
          <w:rPr>
            <w:color w:val="0563C1"/>
            <w:u w:val="single"/>
          </w:rPr>
          <w:t>Framework Guidelines for Addressing Workplace Violence in the Health Sector</w:t>
        </w:r>
      </w:hyperlink>
      <w:r>
        <w:t>. The international framework the prevention and handling measures (de-escalation training, access control, zero-tolerance policy, post-event review) follow; referenced as an external benchmark, not an NABH mandate.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1">
        <w:r>
          <w:rPr>
            <w:color w:val="0563C1"/>
            <w:u w:val="single"/>
          </w:rPr>
          <w:t>NABH SHCO Accreditation Programme page</w:t>
        </w:r>
      </w:hyperlink>
      <w:r>
        <w:t>. Human Resource Management chapter, standard HRM.5.</w:t>
      </w:r>
    </w:p>
    <w:p>
      <w:pPr>
        <w:pStyle w:val="ListParagraph"/>
      </w:pPr>
      <w:r>
        <w:t xml:space="preserve">• </w:t>
      </w:r>
      <w:r>
        <w:t xml:space="preserve">Government of India. (1923, amended 2017). </w:t>
      </w:r>
      <w:hyperlink r:id="rId9">
        <w:r>
          <w:rPr>
            <w:color w:val="0563C1"/>
            <w:u w:val="single"/>
          </w:rPr>
          <w:t>The Employee's Compensation Act, 1923</w:t>
        </w:r>
      </w:hyperlink>
      <w:r>
        <w:t>. Section 3(1) makes an employer liable to pay compensation for a personal injury caused by an accident in the course of employment; Section 4(2A) requires reimbursement of actual medical expenditure. Referenced as the statutory basis for the injury-treatment duty, alongside the NABH requirement.</w:t>
      </w:r>
    </w:p>
    <w:p>
      <w:pPr>
        <w:pStyle w:val="ListParagraph"/>
      </w:pPr>
      <w:r>
        <w:t xml:space="preserve">• </w:t>
      </w:r>
      <w:r>
        <w:t xml:space="preserve">World Health Organization, International Labour Organization, International Council of Nurses, &amp; Public Services International. (2002). </w:t>
      </w:r>
      <w:hyperlink r:id="rId10">
        <w:r>
          <w:rPr>
            <w:color w:val="0563C1"/>
            <w:u w:val="single"/>
          </w:rPr>
          <w:t>Framework Guidelines for Addressing Workplace Violence in the Health Sector</w:t>
        </w:r>
      </w:hyperlink>
      <w:r>
        <w:t>. The international framework the prevention and handling measures (de-escalation training, access control, zero-tolerance policy, post-event review) follow; referenced as an external benchmark, not an NABH mandate.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bour.gov.in/sites/default/files/ec_act.pdf" TargetMode="External"/><Relationship Id="rId10" Type="http://schemas.openxmlformats.org/officeDocument/2006/relationships/hyperlink" Target="https://www.who.int/publications/i/item/9221134466" TargetMode="External"/><Relationship Id="rId11"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