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Patient Safety and Risk Management as Integral to Care and Hospital Management</w:t>
      </w:r>
    </w:p>
    <w:p>
      <w:pPr>
        <w:spacing w:after="300"/>
        <w:jc w:val="center"/>
      </w:pPr>
      <w:r>
        <w:rPr>
          <w:i/>
          <w:iCs/>
          <w:sz w:val="20"/>
          <w:szCs w:val="20"/>
        </w:rPr>
        <w:t xml:space="preserve">(Mandatory System Documentation as per NABH SHCO 3rd Edition — ROM.4.a, ROM.4.b, ROM.4.c, ROM.4.d, ROM.4.e)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HMP/ROM/POL-4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ROM.4.a, ROM.4.b, ROM.4.c, ROM.4.d, ROM.4.e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ROM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ROM.4.a</w:t>
            </w:r>
          </w:p>
        </w:tc>
        <w:tc>
          <w:tcPr>
            <w:tcW w:type="pct" w:w="45%"/>
          </w:tcPr>
          <w:p>
            <w:r>
              <w:rPr>
                <w:b w:val="false"/>
                <w:bCs w:val="false"/>
                <w:sz w:val="18"/>
                <w:szCs w:val="18"/>
              </w:rPr>
              <w:t xml:space="preserve">Management ensures proactive risk management across the organisation.</w:t>
            </w:r>
          </w:p>
        </w:tc>
        <w:tc>
          <w:tcPr>
            <w:tcW w:type="pct" w:w="20%"/>
          </w:tcPr>
          <w:p>
            <w:r>
              <w:rPr>
                <w:b w:val="false"/>
                <w:bCs w:val="false"/>
                <w:sz w:val="18"/>
                <w:szCs w:val="18"/>
              </w:rPr>
              <w:t xml:space="preserve">Steps 1, 6</w:t>
            </w:r>
          </w:p>
        </w:tc>
        <w:tc>
          <w:tcPr>
            <w:tcW w:type="pct" w:w="20%"/>
          </w:tcPr>
          <w:p>
            <w:r>
              <w:rPr>
                <w:b w:val="false"/>
                <w:bCs w:val="false"/>
                <w:sz w:val="18"/>
                <w:szCs w:val="18"/>
              </w:rPr>
              <w:t xml:space="preserve">Head of the institution is accountable; named risk lead operates the system; PSQ.1.c/COP.12/PSQ.5/FMS remain those documents; quality or accreditation coordinator audits</w:t>
            </w:r>
          </w:p>
        </w:tc>
      </w:tr>
      <w:tr>
        <w:tc>
          <w:tcPr>
            <w:tcW w:type="pct" w:w="15%"/>
          </w:tcPr>
          <w:p>
            <w:r>
              <w:rPr>
                <w:b w:val="false"/>
                <w:bCs w:val="false"/>
                <w:sz w:val="18"/>
                <w:szCs w:val="18"/>
              </w:rPr>
              <w:t xml:space="preserve">ROM.4.b</w:t>
            </w:r>
          </w:p>
        </w:tc>
        <w:tc>
          <w:tcPr>
            <w:tcW w:type="pct" w:w="45%"/>
          </w:tcPr>
          <w:p>
            <w:r>
              <w:rPr>
                <w:b w:val="false"/>
                <w:bCs w:val="false"/>
                <w:sz w:val="18"/>
                <w:szCs w:val="18"/>
              </w:rPr>
              <w:t xml:space="preserve">Management ensures integration between quality improvement, risk management and strategic planning within the organisation.</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Head of the institution ensures integration; PSQ.1 and ROM.3.a remain those documents; quality or accreditation coordinator audits</w:t>
            </w:r>
          </w:p>
        </w:tc>
      </w:tr>
      <w:tr>
        <w:tc>
          <w:tcPr>
            <w:tcW w:type="pct" w:w="15%"/>
          </w:tcPr>
          <w:p>
            <w:r>
              <w:rPr>
                <w:b w:val="false"/>
                <w:bCs w:val="false"/>
                <w:sz w:val="18"/>
                <w:szCs w:val="18"/>
              </w:rPr>
              <w:t xml:space="preserve">ROM.4.c</w:t>
            </w:r>
          </w:p>
        </w:tc>
        <w:tc>
          <w:tcPr>
            <w:tcW w:type="pct" w:w="45%"/>
          </w:tcPr>
          <w:p>
            <w:r>
              <w:rPr>
                <w:b w:val="false"/>
                <w:bCs w:val="false"/>
                <w:sz w:val="18"/>
                <w:szCs w:val="18"/>
              </w:rPr>
              <w:t xml:space="preserve">Management ensures implementation of systems for internal and external reporting of system and process failures.</w:t>
            </w:r>
          </w:p>
        </w:tc>
        <w:tc>
          <w:tcPr>
            <w:tcW w:type="pct" w:w="20%"/>
          </w:tcPr>
          <w:p>
            <w:r>
              <w:rPr>
                <w:b w:val="false"/>
                <w:bCs w:val="false"/>
                <w:sz w:val="18"/>
                <w:szCs w:val="18"/>
              </w:rPr>
              <w:t xml:space="preserve">Steps 3, 6</w:t>
            </w:r>
          </w:p>
        </w:tc>
        <w:tc>
          <w:tcPr>
            <w:tcW w:type="pct" w:w="20%"/>
          </w:tcPr>
          <w:p>
            <w:r>
              <w:rPr>
                <w:b w:val="false"/>
                <w:bCs w:val="false"/>
                <w:sz w:val="18"/>
                <w:szCs w:val="18"/>
              </w:rPr>
              <w:t xml:space="preserve">Head of the institution ensures the systems are implemented; named reporters use them; PSQ.5/PRE.6/MOM.7/HIC remain those documents; quality or accreditation coordinator audits</w:t>
            </w:r>
          </w:p>
        </w:tc>
      </w:tr>
      <w:tr>
        <w:tc>
          <w:tcPr>
            <w:tcW w:type="pct" w:w="15%"/>
          </w:tcPr>
          <w:p>
            <w:r>
              <w:rPr>
                <w:b w:val="false"/>
                <w:bCs w:val="false"/>
                <w:sz w:val="18"/>
                <w:szCs w:val="18"/>
              </w:rPr>
              <w:t xml:space="preserve">ROM.4.d</w:t>
            </w:r>
          </w:p>
        </w:tc>
        <w:tc>
          <w:tcPr>
            <w:tcW w:type="pct" w:w="45%"/>
          </w:tcPr>
          <w:p>
            <w:r>
              <w:rPr>
                <w:b w:val="false"/>
                <w:bCs w:val="false"/>
                <w:sz w:val="18"/>
                <w:szCs w:val="18"/>
              </w:rPr>
              <w:t xml:space="preserve">Management ensures that it has a documented agreement for all outsourced services that include service parameters.</w:t>
            </w:r>
          </w:p>
        </w:tc>
        <w:tc>
          <w:tcPr>
            <w:tcW w:type="pct" w:w="20%"/>
          </w:tcPr>
          <w:p>
            <w:r>
              <w:rPr>
                <w:b w:val="false"/>
                <w:bCs w:val="false"/>
                <w:sz w:val="18"/>
                <w:szCs w:val="18"/>
              </w:rPr>
              <w:t xml:space="preserve">Steps 4, 6</w:t>
            </w:r>
          </w:p>
        </w:tc>
        <w:tc>
          <w:tcPr>
            <w:tcW w:type="pct" w:w="20%"/>
          </w:tcPr>
          <w:p>
            <w:r>
              <w:rPr>
                <w:b w:val="false"/>
                <w:bCs w:val="false"/>
                <w:sz w:val="18"/>
                <w:szCs w:val="18"/>
              </w:rPr>
              <w:t xml:space="preserve">Head of the institution ensures agreements exist; named contracting lead holds them; quality or accreditation coordinator audits</w:t>
            </w:r>
          </w:p>
        </w:tc>
      </w:tr>
      <w:tr>
        <w:tc>
          <w:tcPr>
            <w:tcW w:type="pct" w:w="15%"/>
          </w:tcPr>
          <w:p>
            <w:r>
              <w:rPr>
                <w:b w:val="false"/>
                <w:bCs w:val="false"/>
                <w:sz w:val="18"/>
                <w:szCs w:val="18"/>
              </w:rPr>
              <w:t xml:space="preserve">ROM.4.e</w:t>
            </w:r>
          </w:p>
        </w:tc>
        <w:tc>
          <w:tcPr>
            <w:tcW w:type="pct" w:w="45%"/>
          </w:tcPr>
          <w:p>
            <w:r>
              <w:rPr>
                <w:b w:val="false"/>
                <w:bCs w:val="false"/>
                <w:sz w:val="18"/>
                <w:szCs w:val="18"/>
              </w:rPr>
              <w:t xml:space="preserve">Management monitors the quality of the outsourced services and improvements are made as required.</w:t>
            </w:r>
          </w:p>
        </w:tc>
        <w:tc>
          <w:tcPr>
            <w:tcW w:type="pct" w:w="20%"/>
          </w:tcPr>
          <w:p>
            <w:r>
              <w:rPr>
                <w:b w:val="false"/>
                <w:bCs w:val="false"/>
                <w:sz w:val="18"/>
                <w:szCs w:val="18"/>
              </w:rPr>
              <w:t xml:space="preserve">Steps 5, 4, 6</w:t>
            </w:r>
          </w:p>
        </w:tc>
        <w:tc>
          <w:tcPr>
            <w:tcW w:type="pct" w:w="20%"/>
          </w:tcPr>
          <w:p>
            <w:r>
              <w:rPr>
                <w:b w:val="false"/>
                <w:bCs w:val="false"/>
                <w:sz w:val="18"/>
                <w:szCs w:val="18"/>
              </w:rPr>
              <w:t xml:space="preserve">Named monitor; owning clinical/IPC documents remain those methods;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Responsibilities of Management (SHCO 3rd Edition Chapter 7)</w:t>
            </w:r>
          </w:p>
        </w:tc>
      </w:tr>
      <w:tr>
        <w:tc>
          <w:tcPr>
            <w:tcW w:type="pct" w:w="25%"/>
          </w:tcPr>
          <w:p>
            <w:r>
              <w:rPr>
                <w:b w:val="false"/>
                <w:bCs w:val="false"/>
                <w:sz w:val="18"/>
                <w:szCs w:val="18"/>
              </w:rPr>
              <w:t xml:space="preserve">QI</w:t>
            </w:r>
          </w:p>
        </w:tc>
        <w:tc>
          <w:tcPr>
            <w:tcW w:type="pct" w:w="75%"/>
          </w:tcPr>
          <w:p>
            <w:r>
              <w:rPr>
                <w:b w:val="false"/>
                <w:bCs w:val="false"/>
                <w:sz w:val="18"/>
                <w:szCs w:val="18"/>
              </w:rPr>
              <w:t xml:space="preserve">quality improvement</w:t>
            </w:r>
          </w:p>
        </w:tc>
      </w:tr>
      <w:tr>
        <w:tc>
          <w:tcPr>
            <w:tcW w:type="pct" w:w="25%"/>
          </w:tcPr>
          <w:p>
            <w:r>
              <w:rPr>
                <w:b w:val="false"/>
                <w:bCs w:val="false"/>
                <w:sz w:val="18"/>
                <w:szCs w:val="18"/>
              </w:rPr>
              <w:t xml:space="preserve">SLA</w:t>
            </w:r>
          </w:p>
        </w:tc>
        <w:tc>
          <w:tcPr>
            <w:tcW w:type="pct" w:w="75%"/>
          </w:tcPr>
          <w:p>
            <w:r>
              <w:rPr>
                <w:b w:val="false"/>
                <w:bCs w:val="false"/>
                <w:sz w:val="18"/>
                <w:szCs w:val="18"/>
              </w:rPr>
              <w:t xml:space="preserve">service-level agreement (used only if this hospital's outsourcing agreement uses that term)</w:t>
            </w:r>
          </w:p>
        </w:tc>
      </w:tr>
      <w:tr>
        <w:tc>
          <w:tcPr>
            <w:tcW w:type="pct" w:w="25%"/>
          </w:tcPr>
          <w:p>
            <w:r>
              <w:rPr>
                <w:b w:val="false"/>
                <w:bCs w:val="false"/>
                <w:sz w:val="18"/>
                <w:szCs w:val="18"/>
              </w:rPr>
              <w:t xml:space="preserve">ISO</w:t>
            </w:r>
          </w:p>
        </w:tc>
        <w:tc>
          <w:tcPr>
            <w:tcW w:type="pct" w:w="75%"/>
          </w:tcPr>
          <w:p>
            <w:r>
              <w:rPr>
                <w:b w:val="false"/>
                <w:bCs w:val="false"/>
                <w:sz w:val="18"/>
                <w:szCs w:val="18"/>
              </w:rPr>
              <w:t xml:space="preserve">International Organization for Standardization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management at HMP Foundation ensures that patient-safety aspects and risk-management issues are an integral part of patient care and hospital management: how management ensures proactive risk management across the organisation; how it ensures integration between quality improvement, risk management and strategic planning; how it ensures implementation of systems for internal and external reporting of system and process failures; how it ensures documented agreements for all outsourced services that include service parameters; and how it monitors the quality of outsourced services and makes improvements as required.
The chapter intent is that leaders ensure patient-safety and risk-management issues are integral to care and to hospital management. A risk register that lives only in the quality office, or an outsourcing handshake with no service parameters, is not that intent.
This document is management's duty that those systems exist and are integral. It is not the patient-safety programme (PSQ.1), not the incident system (PSQ.5), not bedside vulnerable-patient programmes (COP.12), and not FMS facility-risk rounds.</w:t>
      </w:r>
    </w:p>
    <w:p>
      <w:pPr>
        <w:pStyle w:val="Heading1"/>
        <w:spacing w:after="150" w:before="300"/>
      </w:pPr>
      <w:r>
        <w:t xml:space="preserve">2. Scope</w:t>
      </w:r>
    </w:p>
    <w:p>
      <w:pPr>
        <w:spacing w:after="150"/>
      </w:pPr>
      <w:r>
        <w:rPr>
          <w:sz w:val="22"/>
          <w:szCs w:val="22"/>
        </w:rPr>
        <w:t xml:space="preserve">This policy applies to management at HMP Foundation, to the people who operate organisation-wide risk management, to those who report system and process failures internally and externally, and to those who contract and monitor outsourced services.
It covers: proactive risk management across the organisation; integration of QI, risk management and strategic planning; systems for internal and external reporting of system and process failures; documented outsourcing agreements that include service parameters; and monitoring of outsourced quality with improvement.
Boundaries with other policies of HMP Foundation:
- PSQ.1.c (sibling branch cursor/draft-psq1-psq5-unapproved-9324) is quality-system proactive analysis of patient-safety risks. THIS document's ROM.4.a is management ensuring proactive risk management across the organisation (care and hospital management, not only the quality file). PSQ.1.c does not become this duty, and this duty does not rewrite PSQ.1.c method. HANDOFF ACCEPTED.
- COP.12 owns bedside identification of the vulnerable patient, falls, pressure ulcers, thrombosis and restraint. Those programmes remain COP.12. Organisation-wide management risk here may use their rates as inputs. It does not rewrite the bedside tools. HANDOFF ACCEPTED from the COP.12/PSQ.1.c/ROM.4 split already logged.
- FMS (not yet drafted) owns facility inspection rounds, fire and non-fire emergencies, hazardous materials and medical-equipment risk as facility work. This document owns that management ensures proactive risk management including those domains as a management duty. It does not write the fire plan.
- PSQ.5 owns the incident management system (capture, sentinel identification, analysis, CAPA, informing stakeholders). THIS document's ROM.4.c is management ensuring systems for internal and external reporting of system and process failures — the governance duty that those systems are implemented. PSQ.5 is the incident SOP those reports use. ROM.4.c must not silently become that SOP. HANDOFF ACCEPTED.
- PRE.6 (sibling branch) owns patient/family complaint redressal. A complaint may describe a process failure; redressal remains PRE.6; this OE is reporting of system and process failures as a management system.
- MOM.7 owns medication-event capture. Dual entry with PSQ.5 when the event is also an incident. This document does not capture the medication event.
- PSQ.1 owns the QI programme. ROM.3.a owns approval of strategic plans. THIS document's ROM.4.b owns that management ensures integration between QI, risk management and strategic planning. It does not rewrite PSQ.1 or ROM.3.a.
- PSQ.4 owns culture of safety and earmarked funds. Culture is not this risk register. Funds for risk work may be earmarked there; the risk duty is here.
- AAC.1 unused services: an unused outsourced ICU is a recorded absence, not a copied SLA.
- ISO 31000:2018 (chapter reference 38), Alam (chapter reference 1) and Kaya et al. (chapter reference 26) are frameworks for risk management. They are not a mandate to be ISO-certified or to paste a named FMEA form.
- Indian Contract Act, 1872 is not a numbered ROM chapter reference and is not in paragraph 2. Outsourcing agreements are accreditation method with service parameters; the hospital's own counsel owns contract law.</w:t>
      </w:r>
    </w:p>
    <w:p>
      <w:pPr>
        <w:pStyle w:val="Heading1"/>
        <w:spacing w:after="150" w:before="300"/>
      </w:pPr>
      <w:r>
        <w:t xml:space="preserve">3. Policy Statement</w:t>
      </w:r>
    </w:p>
    <w:p>
      <w:pPr>
        <w:spacing w:after="150"/>
      </w:pPr>
      <w:r>
        <w:rPr>
          <w:sz w:val="22"/>
          <w:szCs w:val="22"/>
        </w:rPr>
        <w:t xml:space="preserve">HMP Foundation requires management to ensure proactive risk management across the organisation.
HMP Foundation requires management to ensure integration between quality improvement, risk management and strategic planning within the organisation.
HMP Foundation requires management to ensure implementation of systems for internal and external reporting of system and process failures.
HMP Foundation requires management to ensure documented agreements for all outsourced services that include service parameters.
HMP Foundation monitors the quality of outsourced services and makes improvements as required.
HMP Foundation does not treat a quality-office risk register unused on the wards, or a handshake with no service parameters, as that duty.</w:t>
      </w:r>
    </w:p>
    <w:p>
      <w:pPr>
        <w:pStyle w:val="Heading1"/>
        <w:spacing w:after="150" w:before="300"/>
      </w:pPr>
      <w:r>
        <w:t xml:space="preserve">4. Procedure</w:t>
      </w:r>
    </w:p>
    <w:p>
      <w:pPr>
        <w:spacing w:after="90" w:before="240"/>
      </w:pPr>
      <w:r>
        <w:rPr>
          <w:b/>
          <w:bCs/>
          <w:sz w:val="23"/>
          <w:szCs w:val="23"/>
        </w:rPr>
        <w:t xml:space="preserve">1. Proactive risk management across the organisation (ROM.4.a, ROM.4.b)</w:t>
      </w:r>
    </w:p>
    <w:p>
      <w:pPr>
        <w:spacing w:after="120"/>
      </w:pPr>
      <w:r>
        <w:rPr>
          <w:sz w:val="22"/>
          <w:szCs w:val="22"/>
        </w:rPr>
        <w:t xml:space="preserve">Management ensures proactive risk management across the organisation. This step is the documented-evidence anchor of a Core requirement the standard asterisks. An assessor will ask what risks management looks at before harm, across the organisation, and what changed. The answer must be a management-owned system that covers patient care and hospital management, not PSQ.1.c's quality-system analysis counted twice, and not COP.12's bedside falls tool counted as organisation-wide risk.</w:t>
      </w:r>
    </w:p>
    <w:p>
      <w:pPr>
        <w:spacing w:after="120"/>
      </w:pPr>
      <w:r>
        <w:rPr>
          <w:sz w:val="22"/>
          <w:szCs w:val="22"/>
        </w:rPr>
        <w:t xml:space="preserve">The reason this is the management step is that the chapter intent makes patient-safety and risk-management issues integral to care and to hospital management. PSQ.1.c analyses patient-safety risks as a quality-system act. COP.12 identifies a vulnerable patient at the bedside. FMS (when drafted) inspects the facility. This OE is that management ensures a proactive risk system that takes those inputs — and other domains this hospital actually runs — and acts before harm. The common error is one FMEA workshop in the quality office, or a copied ISO 31000 manual with no named owner.</w:t>
      </w:r>
    </w:p>
    <w:p>
      <w:pPr>
        <w:spacing w:after="120"/>
      </w:pPr>
      <w:r>
        <w:rPr>
          <w:sz w:val="22"/>
          <w:szCs w:val="22"/>
        </w:rPr>
        <w:t xml:space="preserve">How management ensures proactive risk management across the organisation (scope across care and hospital management, who owns it, how often, how an improvement is recorded), is [Hospital to define — how management ensures proactive risk management across the organisation]. ISO 31000:2018 (chapter reference 38), Alam (chapter reference 1) and Kaya et al. (chapter reference 26) are frameworks, not a certified-system mandate and not a pasted FMEA form. A service the directory does not provide is a recorded absence.</w:t>
      </w:r>
    </w:p>
    <w:p>
      <w:pPr>
        <w:spacing w:after="90" w:before="240"/>
      </w:pPr>
      <w:r>
        <w:rPr>
          <w:b/>
          <w:bCs/>
          <w:sz w:val="23"/>
          <w:szCs w:val="23"/>
        </w:rPr>
        <w:t xml:space="preserve">2. Integration of quality improvement, risk management and strategic planning (ROM.4.b)</w:t>
      </w:r>
    </w:p>
    <w:p>
      <w:pPr>
        <w:spacing w:after="120"/>
      </w:pPr>
      <w:r>
        <w:rPr>
          <w:sz w:val="22"/>
          <w:szCs w:val="22"/>
        </w:rPr>
        <w:t xml:space="preserve">Management ensures integration between quality improvement, risk management and strategic planning within the organisation.</w:t>
      </w:r>
    </w:p>
    <w:p>
      <w:pPr>
        <w:spacing w:after="120"/>
      </w:pPr>
      <w:r>
        <w:rPr>
          <w:sz w:val="22"/>
          <w:szCs w:val="22"/>
        </w:rPr>
        <w:t xml:space="preserve">How that integration is shown — that a strategic plan (ROM.3.a), a QI programme (PSQ.1) and this risk system talk to each other rather than three unrelated files — is [Hospital to define — how management ensures integration between quality improvement, risk management and strategic planning]. This step does not rewrite PSQ.1 or ROM.3.a.</w:t>
      </w:r>
    </w:p>
    <w:p>
      <w:pPr>
        <w:spacing w:after="90" w:before="240"/>
      </w:pPr>
      <w:r>
        <w:rPr>
          <w:b/>
          <w:bCs/>
          <w:sz w:val="23"/>
          <w:szCs w:val="23"/>
        </w:rPr>
        <w:t xml:space="preserve">3. Systems for internal and external reporting of system and process failures (ROM.4.c)</w:t>
      </w:r>
    </w:p>
    <w:p>
      <w:pPr>
        <w:spacing w:after="120"/>
      </w:pPr>
      <w:r>
        <w:rPr>
          <w:sz w:val="22"/>
          <w:szCs w:val="22"/>
        </w:rPr>
        <w:t xml:space="preserve">Management ensures implementation of systems for internal and external reporting of system and process failures. This step is the documented-evidence anchor of a requirement the standard asterisks. An assessor will ask what is reported internally, what is reported externally, and that management ensured those systems exist. The answer must be implemented systems, not a sentence in this policy, and not PSQ.5's incident SOP offered as the whole of this OE.</w:t>
      </w:r>
    </w:p>
    <w:p>
      <w:pPr>
        <w:spacing w:after="120"/>
      </w:pPr>
      <w:r>
        <w:rPr>
          <w:sz w:val="22"/>
          <w:szCs w:val="22"/>
        </w:rPr>
        <w:t xml:space="preserve">The reason this is distinct from PSQ.5 is that the book splits them. PSQ.5 is the incident management system: what counts as an incident, sentinel identification, analysis, CAPA, informing stakeholders of a near miss, adverse event or sentinel event. This OE is management ensuring systems for reporting system and process failures internally and externally — a governance duty that reporting happens, including failures that may not be coded as a clinical incident. The common error is to file only sentinel events with NABH's assessment team and call that the system, or to leave external reporting only with whichever specialty document already names a regulator.</w:t>
      </w:r>
    </w:p>
    <w:p>
      <w:pPr>
        <w:spacing w:after="120"/>
      </w:pPr>
      <w:r>
        <w:rPr>
          <w:sz w:val="22"/>
          <w:szCs w:val="22"/>
        </w:rPr>
        <w:t xml:space="preserve">What counts as a system or process failure for this OE, the internal reporting route, the external reporting route (which bodies this hospital has defined, including any statutory report that already lives in an owning document), and how management ensures those systems are implemented, are [Hospital to define — the systems for internal and external reporting of system and process failures, and how management ensures they are implemented]. PSQ.5 remains the incident SOP. PRE.6 remains complaint redressal. MOM.7 remains medication-event capture. HIC.4 needlestick and HIC.5 HAI case-finding remain those documents. Dual entry when the same event meets more than one definition. This document does not print a mandatory 24-hour NABH clock or a named regulator as a universal mandate.</w:t>
      </w:r>
    </w:p>
    <w:p>
      <w:pPr>
        <w:spacing w:after="90" w:before="240"/>
      </w:pPr>
      <w:r>
        <w:rPr>
          <w:b/>
          <w:bCs/>
          <w:sz w:val="23"/>
          <w:szCs w:val="23"/>
        </w:rPr>
        <w:t xml:space="preserve">4. Documented agreements for outsourced services, including service parameters (ROM.4.d, ROM.4.e)</w:t>
      </w:r>
    </w:p>
    <w:p>
      <w:pPr>
        <w:spacing w:after="120"/>
      </w:pPr>
      <w:r>
        <w:rPr>
          <w:sz w:val="22"/>
          <w:szCs w:val="22"/>
        </w:rPr>
        <w:t xml:space="preserve">Management ensures that it has a documented agreement for all outsourced services that include service parameters.</w:t>
      </w:r>
    </w:p>
    <w:p>
      <w:pPr>
        <w:spacing w:after="120"/>
      </w:pPr>
      <w:r>
        <w:rPr>
          <w:sz w:val="22"/>
          <w:szCs w:val="22"/>
        </w:rPr>
        <w:t xml:space="preserve">Which services are outsourced, the documented agreement for each, and which service parameters it contains, are [Hospital to define — the documented agreements for outsourced services, including service parameters]. A service this hospital does not outsource is a recorded absence. A handshake, or a rate card with no service parameters, is not this OE. Indian Contract Act 1872 is not imported as a NABH mandate.</w:t>
      </w:r>
    </w:p>
    <w:p>
      <w:pPr>
        <w:spacing w:after="90" w:before="240"/>
      </w:pPr>
      <w:r>
        <w:rPr>
          <w:b/>
          <w:bCs/>
          <w:sz w:val="23"/>
          <w:szCs w:val="23"/>
        </w:rPr>
        <w:t xml:space="preserve">5. Monitoring quality of outsourced services and improvement (ROM.4.e)</w:t>
      </w:r>
    </w:p>
    <w:p>
      <w:pPr>
        <w:spacing w:after="120"/>
      </w:pPr>
      <w:r>
        <w:rPr>
          <w:sz w:val="22"/>
          <w:szCs w:val="22"/>
        </w:rPr>
        <w:t xml:space="preserve">Management monitors the quality of the outsourced services and improvements are made as required.</w:t>
      </w:r>
    </w:p>
    <w:p>
      <w:pPr>
        <w:spacing w:after="120"/>
      </w:pPr>
      <w:r>
        <w:rPr>
          <w:sz w:val="22"/>
          <w:szCs w:val="22"/>
        </w:rPr>
        <w:t xml:space="preserve">How quality is monitored, how often, and how an improvement is recorded, are [Hospital to define — how the quality of outsourced services is monitored and how improvements are made]. Monitoring uses the service parameters at step 4. HIC.6/AAC.4/AAC.5 remain the owning method where the outsourced work is CSSD, laboratory or imaging.</w:t>
      </w:r>
    </w:p>
    <w:p>
      <w:pPr>
        <w:spacing w:after="90" w:before="240"/>
      </w:pPr>
      <w:r>
        <w:rPr>
          <w:b/>
          <w:bCs/>
          <w:sz w:val="23"/>
          <w:szCs w:val="23"/>
        </w:rPr>
        <w:t xml:space="preserve">6. Records, review and the order of operations (ROM.4.a, ROM.4.b, ROM.4.c, ROM.4.d, ROM.4.e)</w:t>
      </w:r>
    </w:p>
    <w:p>
      <w:pPr>
        <w:spacing w:after="120"/>
      </w:pPr>
      <w:r>
        <w:rPr>
          <w:sz w:val="22"/>
          <w:szCs w:val="22"/>
        </w:rPr>
        <w:t xml:space="preserve">The organisation-wide risk system and its actions, the record of QI–risk–strategy integration, internal and external failure-reporting systems and sample reports, outsourcing agreements with service parameters, and outsourced-quality monitoring with improvements, are retrievable.</w:t>
      </w:r>
    </w:p>
    <w:p>
      <w:pPr>
        <w:spacing w:after="120"/>
      </w:pPr>
      <w:r>
        <w:rPr>
          <w:sz w:val="22"/>
          <w:szCs w:val="22"/>
        </w:rPr>
        <w:t xml:space="preserve">The quality or accreditation coordinator audits a sample of these records at [Hospital to define — the audit interval for management risk and outsourcing records] for: proactive risk that is management-owned across the organisation rather than only PSQ.1.c or only COP.12; integration with PSQ.1 and ROM.3.a rather than three unrelated files; failure-reporting systems implemented rather than PSQ.5 counted as this whole OE; outsourcing agreements that include service parameters; monitoring that produced an improvement; and no ISO certificate counted as implementation without the work.</w:t>
      </w:r>
    </w:p>
    <w:p>
      <w:pPr>
        <w:spacing w:after="120"/>
      </w:pPr>
      <w:r>
        <w:rPr>
          <w:sz w:val="22"/>
          <w:szCs w:val="22"/>
        </w:rPr>
        <w:t xml:space="preserve">This policy is reviewed at [Hospital to define — the review interval for this policy], and sooner when a process failure was never reported, or when PSQ.1, PSQ.5, COP.12, ROM.3 or FMS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management ensures the duties in this document.
Those responsible for governance (ROM.1) receive reporting of system and process failures as this hospital has defined that internal route, and they approve strategy (ROM.3.a) that this step 2 must integrate with.
Named leads operate the risk system, the failure-reporting systems, and outsourcing contracts as this hospital has defined them.
PSQ.1, PSQ.5, COP.12, MOM.7, PRE.6, HIC.4, HIC.5 and FMS (when drafted) remain the owning methods named in Scope.
The quality or accreditation coordinator audits the records at step 6.
All staff are expected to treat a quality-office risk file unused on the wards, an incident that never entered PSQ.5, and an outsourced service with no service parameters,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7 ROM, standard ROM.4.
- Risk management -- Guidelines. ISO 31000:2018. International Organization for Standardization — chapter reference 38; framework, not a certified-system mandate.
- Alam, A. Y. (2016). Steps in the Process of Risk Management in Healthcare. Journal of Epidemiology and Preventive Medicine, 02(02) — chapter reference 1; framework.
- Kaya, G. K., Ward, J. R., &amp; Clarkson, P. J. (2018). A framework to support risk assessment in hospitals. International Journal for Quality in Health Care, 31(5), 393-401 — chapter reference 26; framework.
- Kuhn, A. M. (2002). The need for risk management to evolve to assure a culture of safety. Quality and Safety in Health Care, 11(2), 158-162 — chapter reference 28; framework.
- Internal documents of HMP Foundation: the organisation-wide risk system; failure-reporting systems; outsourcing agreements; PSQ.1, PSQ.4, PSQ.5; COP.12; ROM.1, ROM.3; AAC.1.</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those responsible for governance and the quality or accreditation coordinator.
Copies issued to: named risk and outsourcing leads; department heads who report process failures.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ROM.4.a — Management ensures proactive risk management across the organisation.</w:t>
      </w:r>
    </w:p>
    <w:p>
      <w:pPr>
        <w:pStyle w:val="ListParagraph"/>
        <w:numPr>
          <w:ilvl w:val="0"/>
          <w:numId w:val="1"/>
        </w:numPr>
        <w:spacing w:after="60"/>
      </w:pPr>
      <w:r>
        <w:rPr>
          <w:sz w:val="22"/>
          <w:szCs w:val="22"/>
        </w:rPr>
        <w:t xml:space="preserve">The written organisation-wide proactive risk system showing management ownership across patient care and hospital management rather than a quality-office file unused on the wards</w:t>
      </w:r>
    </w:p>
    <w:p>
      <w:pPr>
        <w:pStyle w:val="ListParagraph"/>
        <w:numPr>
          <w:ilvl w:val="0"/>
          <w:numId w:val="1"/>
        </w:numPr>
        <w:spacing w:after="60"/>
      </w:pPr>
      <w:r>
        <w:rPr>
          <w:sz w:val="22"/>
          <w:szCs w:val="22"/>
        </w:rPr>
        <w:t xml:space="preserve">sample analyses that produced an improvement before harm</w:t>
      </w:r>
    </w:p>
    <w:p>
      <w:pPr>
        <w:pStyle w:val="ListParagraph"/>
        <w:numPr>
          <w:ilvl w:val="0"/>
          <w:numId w:val="1"/>
        </w:numPr>
        <w:spacing w:after="60"/>
      </w:pPr>
      <w:r>
        <w:rPr>
          <w:sz w:val="22"/>
          <w:szCs w:val="22"/>
        </w:rPr>
        <w:t xml:space="preserve">the recorded splits that PSQ.1.c owns quality-system patient-safety analysis, COP.12 owns bedside vulnerable/falls/PU/VTE tools, FMS (when drafted) owns facility rounds, and PSQ.5 owns after-the-fact incidents</w:t>
      </w:r>
    </w:p>
    <w:p>
      <w:pPr>
        <w:pStyle w:val="ListParagraph"/>
        <w:numPr>
          <w:ilvl w:val="0"/>
          <w:numId w:val="1"/>
        </w:numPr>
        <w:spacing w:after="60"/>
      </w:pPr>
      <w:r>
        <w:rPr>
          <w:sz w:val="22"/>
          <w:szCs w:val="22"/>
        </w:rPr>
        <w:t xml:space="preserve">the recorded use of ISO 31000:2018, Alam and Kaya (chapter references 38, 1 and 26) as frameworks not a certified-system or named-FMEA mandate</w:t>
      </w:r>
    </w:p>
    <w:p>
      <w:pPr>
        <w:pStyle w:val="ListParagraph"/>
        <w:numPr>
          <w:ilvl w:val="0"/>
          <w:numId w:val="1"/>
        </w:numPr>
        <w:spacing w:after="60"/>
      </w:pPr>
      <w:r>
        <w:rPr>
          <w:sz w:val="22"/>
          <w:szCs w:val="22"/>
        </w:rPr>
        <w:t xml:space="preserve">induction or briefing of named risk leads</w:t>
      </w:r>
    </w:p>
    <w:p>
      <w:pPr>
        <w:pStyle w:val="ListParagraph"/>
        <w:numPr>
          <w:ilvl w:val="0"/>
          <w:numId w:val="1"/>
        </w:numPr>
        <w:spacing w:after="60"/>
      </w:pPr>
      <w:r>
        <w:rPr>
          <w:sz w:val="22"/>
          <w:szCs w:val="22"/>
        </w:rPr>
        <w:t xml:space="preserve">the location of the system</w:t>
      </w:r>
    </w:p>
    <w:p>
      <w:pPr>
        <w:pStyle w:val="ListParagraph"/>
        <w:numPr>
          <w:ilvl w:val="0"/>
          <w:numId w:val="1"/>
        </w:numPr>
        <w:spacing w:after="60"/>
      </w:pPr>
      <w:r>
        <w:rPr>
          <w:sz w:val="22"/>
          <w:szCs w:val="22"/>
        </w:rPr>
        <w:t xml:space="preserve">the audit sample at step 6 of management-owned proactive work rather than one workshop</w:t>
      </w:r>
    </w:p>
    <w:p>
      <w:pPr>
        <w:spacing w:after="90" w:before="200"/>
      </w:pPr>
      <w:r>
        <w:rPr>
          <w:b/>
          <w:bCs/>
          <w:sz w:val="22"/>
          <w:szCs w:val="22"/>
        </w:rPr>
        <w:t xml:space="preserve">ROM.4.b — Management ensures integration between quality improvement, risk management and strategic planning within the organisation.</w:t>
      </w:r>
    </w:p>
    <w:p>
      <w:pPr>
        <w:pStyle w:val="ListParagraph"/>
        <w:numPr>
          <w:ilvl w:val="0"/>
          <w:numId w:val="1"/>
        </w:numPr>
        <w:spacing w:after="60"/>
      </w:pPr>
      <w:r>
        <w:rPr>
          <w:sz w:val="22"/>
          <w:szCs w:val="22"/>
        </w:rPr>
        <w:t xml:space="preserve">The recorded method of integration and sample minutes or plans showing QI (PSQ.1), risk (this document) and strategy (ROM.3.a) talking to each other rather than three unrelated files</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ROM.4.c — Management ensures implementation of systems for internal and external reporting of system and process failures.</w:t>
      </w:r>
    </w:p>
    <w:p>
      <w:pPr>
        <w:pStyle w:val="ListParagraph"/>
        <w:numPr>
          <w:ilvl w:val="0"/>
          <w:numId w:val="1"/>
        </w:numPr>
        <w:spacing w:after="60"/>
      </w:pPr>
      <w:r>
        <w:rPr>
          <w:sz w:val="22"/>
          <w:szCs w:val="22"/>
        </w:rPr>
        <w:t xml:space="preserve">The written internal and external reporting systems for system and process failures showing implementation (sample reports that left the organisation or reached governance) rather than a sentence in this policy</w:t>
      </w:r>
    </w:p>
    <w:p>
      <w:pPr>
        <w:pStyle w:val="ListParagraph"/>
        <w:numPr>
          <w:ilvl w:val="0"/>
          <w:numId w:val="1"/>
        </w:numPr>
        <w:spacing w:after="60"/>
      </w:pPr>
      <w:r>
        <w:rPr>
          <w:sz w:val="22"/>
          <w:szCs w:val="22"/>
        </w:rPr>
        <w:t xml:space="preserve">the recorded split that PSQ.5 is the incident SOP those clinical incidents use, PRE.6 is complaint redressal, MOM.7 is medication-event capture, and HIC.4/HIC.5 remain needlestick and HAI case-finding</w:t>
      </w:r>
    </w:p>
    <w:p>
      <w:pPr>
        <w:pStyle w:val="ListParagraph"/>
        <w:numPr>
          <w:ilvl w:val="0"/>
          <w:numId w:val="1"/>
        </w:numPr>
        <w:spacing w:after="60"/>
      </w:pPr>
      <w:r>
        <w:rPr>
          <w:sz w:val="22"/>
          <w:szCs w:val="22"/>
        </w:rPr>
        <w:t xml:space="preserve">the recorded refusal to print a mandatory 24-hour NABH clock or a universal named regulator</w:t>
      </w:r>
    </w:p>
    <w:p>
      <w:pPr>
        <w:pStyle w:val="ListParagraph"/>
        <w:numPr>
          <w:ilvl w:val="0"/>
          <w:numId w:val="1"/>
        </w:numPr>
        <w:spacing w:after="60"/>
      </w:pPr>
      <w:r>
        <w:rPr>
          <w:sz w:val="22"/>
          <w:szCs w:val="22"/>
        </w:rPr>
        <w:t xml:space="preserve">induction or briefing of staff who report failures</w:t>
      </w:r>
    </w:p>
    <w:p>
      <w:pPr>
        <w:pStyle w:val="ListParagraph"/>
        <w:numPr>
          <w:ilvl w:val="0"/>
          <w:numId w:val="1"/>
        </w:numPr>
        <w:spacing w:after="60"/>
      </w:pPr>
      <w:r>
        <w:rPr>
          <w:sz w:val="22"/>
          <w:szCs w:val="22"/>
        </w:rPr>
        <w:t xml:space="preserve">the location of the systems</w:t>
      </w:r>
    </w:p>
    <w:p>
      <w:pPr>
        <w:pStyle w:val="ListParagraph"/>
        <w:numPr>
          <w:ilvl w:val="0"/>
          <w:numId w:val="1"/>
        </w:numPr>
        <w:spacing w:after="60"/>
      </w:pPr>
      <w:r>
        <w:rPr>
          <w:sz w:val="22"/>
          <w:szCs w:val="22"/>
        </w:rPr>
        <w:t xml:space="preserve">the audit sample at step 6 of reports that actually travelled internally and, where defined, externally</w:t>
      </w:r>
    </w:p>
    <w:p>
      <w:pPr>
        <w:spacing w:after="90" w:before="200"/>
      </w:pPr>
      <w:r>
        <w:rPr>
          <w:b/>
          <w:bCs/>
          <w:sz w:val="22"/>
          <w:szCs w:val="22"/>
        </w:rPr>
        <w:t xml:space="preserve">ROM.4.d — Management ensures that it has a documented agreement for all outsourced services that include service parameters.</w:t>
      </w:r>
    </w:p>
    <w:p>
      <w:pPr>
        <w:pStyle w:val="ListParagraph"/>
        <w:numPr>
          <w:ilvl w:val="0"/>
          <w:numId w:val="1"/>
        </w:numPr>
        <w:spacing w:after="60"/>
      </w:pPr>
      <w:r>
        <w:rPr>
          <w:sz w:val="22"/>
          <w:szCs w:val="22"/>
        </w:rPr>
        <w:t xml:space="preserve">The list of outsourced services against AAC.1 and the documented agreement for each including service parameters</w:t>
      </w:r>
    </w:p>
    <w:p>
      <w:pPr>
        <w:pStyle w:val="ListParagraph"/>
        <w:numPr>
          <w:ilvl w:val="0"/>
          <w:numId w:val="1"/>
        </w:numPr>
        <w:spacing w:after="60"/>
      </w:pPr>
      <w:r>
        <w:rPr>
          <w:sz w:val="22"/>
          <w:szCs w:val="22"/>
        </w:rPr>
        <w:t xml:space="preserve">recorded absences where nothing is outsourced</w:t>
      </w:r>
    </w:p>
    <w:p>
      <w:pPr>
        <w:pStyle w:val="ListParagraph"/>
        <w:numPr>
          <w:ilvl w:val="0"/>
          <w:numId w:val="1"/>
        </w:numPr>
        <w:spacing w:after="60"/>
      </w:pPr>
      <w:r>
        <w:rPr>
          <w:sz w:val="22"/>
          <w:szCs w:val="22"/>
        </w:rPr>
        <w:t xml:space="preserve">the recorded refusal to import Indian Contract Act 1872 as a NABH mandate</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ROM.4.e — Management monitors the quality of the outsourced services and improvements are made as required.</w:t>
      </w:r>
    </w:p>
    <w:p>
      <w:pPr>
        <w:pStyle w:val="ListParagraph"/>
        <w:numPr>
          <w:ilvl w:val="0"/>
          <w:numId w:val="1"/>
        </w:numPr>
        <w:spacing w:after="60"/>
      </w:pPr>
      <w:r>
        <w:rPr>
          <w:sz w:val="22"/>
          <w:szCs w:val="22"/>
        </w:rPr>
        <w:t xml:space="preserve">Sample monitoring against the service parameters at step 4 and recorded improvements</w:t>
      </w:r>
    </w:p>
    <w:p>
      <w:pPr>
        <w:pStyle w:val="ListParagraph"/>
        <w:numPr>
          <w:ilvl w:val="0"/>
          <w:numId w:val="1"/>
        </w:numPr>
        <w:spacing w:after="60"/>
      </w:pPr>
      <w:r>
        <w:rPr>
          <w:sz w:val="22"/>
          <w:szCs w:val="22"/>
        </w:rPr>
        <w:t xml:space="preserve">the recorded split that HIC.6/AAC.4/AAC.5 own method where the work is CSSD, laboratory or imaging</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HMP/ROM/POL-4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2026-08-17T16:30:34.913Z</dcterms:created>
  <dcterms:modified xsi:type="dcterms:W3CDTF">2026-08-17T16:30:34.913Z</dcterms:modified>
</cp:coreProperties>
</file>

<file path=docProps/custom.xml><?xml version="1.0" encoding="utf-8"?>
<Properties xmlns="http://schemas.openxmlformats.org/officeDocument/2006/custom-properties" xmlns:vt="http://schemas.openxmlformats.org/officeDocument/2006/docPropsVTypes"/>
</file>