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Surveillance of infection risks, rates, trends and outcomes.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the surveillance component of that programme.</w:t>
      </w:r>
    </w:p>
    <w:p>
      <w:pPr>
        <w:pStyle w:val="ListParagraph"/>
        <w:numPr>
          <w:ilvl w:val="0"/>
          <w:numId w:val="1"/>
        </w:numPr>
        <w:spacing w:after="60"/>
      </w:pPr>
      <w:r>
        <w:rPr>
          <w:sz w:val="22"/>
          <w:szCs w:val="22"/>
        </w:rPr>
        <w:t xml:space="preserve">HIC.2 owns clinical practices; HIC.5.b monitors hand-hygiene compliance for HIC.2.b.</w:t>
      </w:r>
    </w:p>
    <w:p>
      <w:pPr>
        <w:pStyle w:val="ListParagraph"/>
        <w:numPr>
          <w:ilvl w:val="0"/>
          <w:numId w:val="1"/>
        </w:numPr>
        <w:spacing w:after="60"/>
      </w:pPr>
      <w:r>
        <w:rPr>
          <w:sz w:val="22"/>
          <w:szCs w:val="22"/>
        </w:rPr>
        <w:t xml:space="preserve">HIC.3 owns support-service procedures; HIC.5.e monitors housekeeping effectiveness for HIC.3.c.</w:t>
      </w:r>
    </w:p>
    <w:p>
      <w:pPr>
        <w:pStyle w:val="ListParagraph"/>
        <w:numPr>
          <w:ilvl w:val="0"/>
          <w:numId w:val="1"/>
        </w:numPr>
        <w:spacing w:after="60"/>
      </w:pPr>
      <w:r>
        <w:rPr>
          <w:sz w:val="22"/>
          <w:szCs w:val="22"/>
        </w:rPr>
        <w:t xml:space="preserve">HIC.4 owns device-bundle prevention; surveillance rates feed those bundles.</w:t>
      </w:r>
    </w:p>
    <w:p>
      <w:pPr>
        <w:pStyle w:val="ListParagraph"/>
        <w:numPr>
          <w:ilvl w:val="0"/>
          <w:numId w:val="1"/>
        </w:numPr>
        <w:spacing w:after="60"/>
      </w:pPr>
      <w:r>
        <w:rPr>
          <w:sz w:val="22"/>
          <w:szCs w:val="22"/>
        </w:rPr>
        <w:t xml:space="preserve">PSQ.2 owns the quality indicator framework; surveillance data is reported into that framework.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ABHR — alcohol-based hand rub
ATP — adenosine triphosphate
CAPA — corrective and preventive action
CAUTI — catheter-associated urinary tract infection
CFU — colony-forming units
CLABSI — central-line-associated blood stream infection
CRE — carbapenem-resistant Enterobacterales
ESBL — extended-spectrum beta-lactamase
HAI — healthcare-associated infection
HIC — Hospital Infection Prevention and Control (NABH SHCO chapter)
ICC — Infection Control Committee
ICMR — Indian Council of Medical Research
MDRO — multi-drug-resistant organism
MRSA — methicillin-resistant Staphylococcus aureus
NABH — National Accreditation Board for Hospitals and Healthcare Providers
OE — objective element
PSQ — Patient Safety and Quality (NABH SHCO chapter)
RCA — root-cause analysis
RLU — relative light units
SHCO — Standards for Small Healthcare Organisations
SSI — surgical site infection
VAP — ventilator-associated pneumonia
VRE — vancomycin-resistant Enterococcus
WHO — World Health Organization</w:t>
      </w:r>
    </w:p>
    <w:p>
      <w:pPr>
        <w:pStyle w:val="Heading1"/>
        <w:spacing w:after="120" w:before="280"/>
      </w:pPr>
      <w:r>
        <w:t xml:space="preserve">12. Traceability to NABH SHCO 3rd Edition HIC.5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HIC/POL/05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