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COP.1.f — Telemedicine (where provided)</w:t>
      </w:r>
    </w:p>
    <w:p>
      <w:pPr>
        <w:spacing w:after="120"/>
      </w:pPr>
      <w:r>
        <w:rPr>
          <w:b/>
          <w:bCs/>
          <w:sz w:val="28"/>
          <w:szCs w:val="28"/>
        </w:rPr>
        <w:t>COP.1 Record 10 — Telemedicine Guidance &amp; Safeguards Reference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Confirms whether each telemedicine safeguard is covered in written guidance and when it was last reviewed — this is not a log of individual teleconsultations.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Covered in Written Guidance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Patient identity &amp; confidentiality protection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2026-09-18T09:08:59.097Z</dcterms:created>
  <dcterms:modified xsi:type="dcterms:W3CDTF">2026-09-18T09:08:59.097Z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