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Labour and Delivery Monitoring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COP.10.g, COP.10.h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monitors a woman through labour and the immediate post-natal period, with particular attention to post-partum haemorrhage.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patient in active labour and through the immediate post-natal period.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Labour Room Doctor/Nurse: </w:t>
      </w:r>
      <w:r>
        <w:t xml:space="preserve">monitors foetal heart rate, labour progression, and post-natal bleeding.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Monitor foetal heart rate at the interval appropriate to the stage of labour and the patient's risk level.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Track labour progression against the hospital's adopted labour-monitoring tool (e.g. a partograph or the WHO Labour Care Guide).</w:t>
      </w:r>
    </w:p>
    <w:p>
      <w:pPr>
        <w:spacing w:after="120"/>
      </w:pPr>
      <w:r>
        <w:t>On a partograph, progress is plotted against an alert line and an action line: crossing the alert line means progress is slower than expected and calls for closer monitoring; crossing the action line means active intervention or escalation (e.g. senior review, decision on mode of delivery) is needed without delay.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Escalate immediately if foetal heart rate or labour progression falls outside the expected pattern.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After delivery, estimate blood loss and monitor for post-partum haemorrhage at defined intervals (e.g. at delivery, 1 hour, 2 hours).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Confirm uterine tone and bleeding are within expected limits before reducing monitoring frequency.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continue routine monitoring frequency if foetal heart rate is abnormal or post-partum bleeding exceeds expected limits — escalate immediately.</w:t>
      </w:r>
    </w:p>
    <w:p>
      <w:pPr>
        <w:spacing w:after="150"/>
      </w:pPr>
      <w:r>
        <w:t xml:space="preserve">Raising a concern about foetal heart rate or bleeding is never a disciplinary matter, regardless of seniority.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Records 9 and 10 of the COP.10 Required Records pack.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Obstetric Care (HCO/COP/POL/10) — COP.10 policy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maternal or neonatal adverse event.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/>
        <w:t xml:space="preserve">World Health Organization. (2018). WHO Recommendations: Intrapartum Care for a Positive Childbirth Experience. </w:t>
      </w:r>
      <w:hyperlink r:id="rId8">
        <w:r>
          <w:rPr>
            <w:color w:val="0563C1"/>
            <w:u w:val="single"/>
          </w:rPr>
          <w:t>https://www.who.int/publications/i/item/9789241550215</w:t>
        </w:r>
      </w:hyperlink>
      <w:r>
        <w:rPr/>
        <w:t xml:space="preserve"> — the foetal monitoring and labour-progression principles in this SOP are consistent with this WHO guideline.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who.int/publications/i/item/9789241550215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2026-09-18T18:08:14.179Z</dcterms:created>
  <dcterms:modified xsi:type="dcterms:W3CDTF">2026-09-18T18:08:14.179Z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