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COP.16.a — Vulnerable patients (Stop-Work)</w:t>
      </w:r>
    </w:p>
    <w:p>
      <w:pPr>
        <w:spacing w:after="120"/>
      </w:pPr>
      <w:r>
        <w:rPr>
          <w:b/>
          <w:bCs/>
          <w:sz w:val="28"/>
          <w:szCs w:val="28"/>
        </w:rPr>
        <w:t>COP.16 Record 1 — Vulnerable Patient Twice-Daily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Written guidance for vulnerable patient identification/management; monitoring records showing assessment at least twice a day.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28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Vulnerability Category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Morning Assessment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Evening Assessment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IP-2026-0901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Elderly, cognitively impaired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08:00 — stable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20:00 — stable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2026-09-18T09:18:18.643Z</dcterms:created>
  <dcterms:modified xsi:type="dcterms:W3CDTF">2026-09-18T09:18:18.643Z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