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DVT Risk Assessment and Prophylaxis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COP.16.d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patients at risk of deep vein thrombosis and manages that risk using a validated assessment tool.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in-patient at admission, and every surgical patient pre-operatively.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Admitting Doctor / Ward Nurse: </w:t>
      </w:r>
      <w:r>
        <w:t xml:space="preserve">completes the DVT-risk assessment and implements the resulting management plan.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Assess every patient's DVT risk using the hospital's adopted validated tool (e.g. Caprini Risk Assessment Model).</w:t>
      </w:r>
    </w:p>
    <w:p>
      <w:pPr>
        <w:spacing w:after="120"/>
      </w:pPr>
      <w:r>
        <w:t>Commonly used Caprini score bands: 0 — very low risk; 1-2 — low risk; 3-4 — moderate risk; 5 or more — high risk. [Hospital to define: confirm the exact score bands and prophylaxis matched to each, against the version of the tool this hospital has adopted.]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tool used and the resulting risk level.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patients found at risk, implement management per written guidance — mechanical prophylaxis (compression stockings, intermittent pneumatic compression) and/or pharmacological prophylaxis, as clinically indicated.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Reassess on any significant change in mobility or surgical status.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use a non-validated or informal method as a substitute for the adopted DVT-risk tool.</w:t>
      </w:r>
    </w:p>
    <w:p>
      <w:pPr>
        <w:spacing w:after="150"/>
      </w:pPr>
      <w:r>
        <w:t xml:space="preserve">Do not leave a patient identified as high DVT risk without the defined prophylaxis in place.</w:t>
      </w:r>
    </w:p>
    <w:p>
      <w:pPr>
        <w:spacing w:after="150"/>
      </w:pPr>
      <w:r>
        <w:t xml:space="preserve">Raising a missed or overdue DVT-risk assessment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5 of the COP.16 Required Records pack: DVT Risk Assessment Record.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High-Risk Patients — Identification and Management (HCO/COP/POL/16) — COP.16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hospital-acquired VTE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https://pubmed.ncbi.nlm.nih.gov/15900257/</w:t>
        </w:r>
      </w:hyperlink>
      <w:r>
        <w:rPr/>
        <w:t xml:space="preserve">Caprini, J. A. (2005). Thrombosis risk assessment as a guide to quality patient care. Disease-a-Month, 51(2-3), 70-78. </w:t>
      </w:r>
      <w:hyperlink r:id="rId8">
        <w:r>
          <w:rPr>
            <w:color w:val="0563C1"/>
            <w:u w:val="single"/>
          </w:rPr>
          <w:t>https://pubmed.ncbi.nlm.nih.gov/15900257/</w:t>
        </w:r>
      </w:hyperlink>
      <w:r>
        <w:rPr/>
        <w:t xml:space="preserve"> — describes the Caprini Risk Assessment Model, the hospital's adopted example tool, validated across an estimated 5 million patients internationally.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pubmed.ncbi.nlm.nih.gov/15900257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2026-09-18T13:05:01.865Z</dcterms:created>
  <dcterms:modified xsi:type="dcterms:W3CDTF">2026-09-18T13:05:01.865Z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