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Nutritional Screening and Therapeutic Diet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COP.19.a through COP.19.d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screens every patient for nutritional risk, escalates at-risk patients to a dietician, and delivers the correct diet to the correct patient.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admitted patient.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Doctor / Nurse (screener): </w:t>
      </w:r>
      <w:r>
        <w:t xml:space="preserve">screens on admission.</w:t>
      </w:r>
    </w:p>
    <w:p>
      <w:pPr>
        <w:spacing w:after="100"/>
      </w:pPr>
      <w:r>
        <w:rPr>
          <w:b/>
          <w:bCs/>
        </w:rPr>
        <w:t xml:space="preserve">Dietician: </w:t>
      </w:r>
      <w:r>
        <w:t xml:space="preserve">assesses at-risk patients and plans the diet with the doctor and patient/relative.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Screen every patient for nutritional risk on admission, using the hospital's adopted validated tool (e.g. the Malnutrition Universal Screening Tool).</w:t>
      </w:r>
    </w:p>
    <w:p>
      <w:pPr>
        <w:spacing w:after="120"/>
      </w:pPr>
      <w:r>
        <w:t>MUST scores three elements — BMI, unplanned recent weight loss, and the acute-disease effect on intake — and adds them: total 0 is low risk; 1 is medium risk; 2 or more is high risk, triggering the dietician referral in step 2 below.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at-risk patients, a dietician — not the original screener — completes a full nutritional assessment covering planning, preparation, and distribution.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Plan the diet collaboratively: dietician, treating doctor, and patient/relative, accounting for allergies, food habits, and preferences.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Write a diet order for every patient, kept in a consistent location in the record. For therapeutic diets, confirm the diet sheet matches what is actually delivered.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Where family brings food, the dietician explains diet limitations and separately monitors what is actually brought against the prescribed diet.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all 6 records in the COP.19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Nutritional Therapy (HCO/COP/POL/19) — COP.19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British Association for Parenteral and Enteral Nutrition (BAPEN). Malnutrition Universal Screening Tool ('MUST'). </w:t>
      </w:r>
      <w:hyperlink r:id="rId8">
        <w:r>
          <w:rPr>
            <w:color w:val="0563C1"/>
            <w:u w:val="single"/>
          </w:rPr>
          <w:t>https://www.bapen.org.uk/must-and-self-screening/introducing-must/</w:t>
        </w:r>
      </w:hyperlink>
      <w:r>
        <w:rPr/>
        <w:t xml:space="preserve"> — a five-step, freely available screening tool the hospital may adopt as its example.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bapen.org.uk/must-and-self-screening/introducing-must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2026-09-18T18:09:42.537Z</dcterms:created>
  <dcterms:modified xsi:type="dcterms:W3CDTF">2026-09-18T18:09:42.537Z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