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Medico-Legal Case and Death Management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COP.2.c, COP.2.g, COP.2.h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handles medico-legal cases, patients found dead on arrival, and patients who die within minutes of arrival — meeting statutory documentation and reporting duties in every case.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medico-legal case, brought-dead patient, and death occurring within minutes of arrival in the emergency area.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Treating Doctor: </w:t>
      </w:r>
      <w:r>
        <w:t xml:space="preserve">identifies MLC status, documents findings, and completes statutory certification.</w:t>
      </w:r>
    </w:p>
    <w:p>
      <w:pPr>
        <w:spacing w:after="100"/>
      </w:pPr>
      <w:r>
        <w:rPr>
          <w:b/>
          <w:bCs/>
        </w:rPr>
        <w:t xml:space="preserve">Emergency In-Charge: </w:t>
      </w:r>
      <w:r>
        <w:t xml:space="preserve">ensures police intimation and body-handling procedures are followed.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Medico-legal cases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Identify and register every medico-legal case as required by local law, including suspected sexual assault.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Intimate the police per statutory requirement, and document the intimation with date and time.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Preserve samples and evidence per statutory and forensic requirements, with documented storage confirmation.</w:t>
      </w:r>
    </w:p>
    <w:p>
      <w:pPr>
        <w:pStyle w:val="Heading2"/>
        <w:spacing w:after="100" w:before="250"/>
      </w:pPr>
      <w:r>
        <w:t xml:space="preserve">4.2 Patients found dead on arrival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Log the case per local law, and follow the statutory process for unidentified or unclaimed bodies, including police intimation.</w:t>
      </w:r>
    </w:p>
    <w:p>
      <w:pPr>
        <w:pStyle w:val="Heading2"/>
        <w:spacing w:after="100" w:before="250"/>
      </w:pPr>
      <w:r>
        <w:t xml:space="preserve">4.3 Death within minutes of arrival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Register the case and record the full resuscitation sequence — start time, interventions, end time, and outcome.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Complete a medical certificate of cause of death, and hand over the body to the next of kin with documentation.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8, 15, 16, 17, and 18 of the COP.2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Emergency Care Services (HCO/COP/POL/02) — COP.2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and immediately after any statutory reporting gap identified in audit.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2026-09-18T15:04:24.917Z</dcterms:created>
  <dcterms:modified xsi:type="dcterms:W3CDTF">2026-09-18T15:04:24.917Z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