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Standard Operating Procedure</w:t>
      </w:r>
    </w:p>
    <w:p>
      <w:pPr>
        <w:spacing w:after="60"/>
      </w:pPr>
      <w:r>
        <w:rPr>
          <w:b/>
          <w:bCs/>
          <w:color w:val="444444"/>
          <w:sz w:val="26"/>
          <w:szCs w:val="26"/>
        </w:rPr>
        <w:t xml:space="preserve">DNR / DNI / AND Decision-Making</w:t>
      </w:r>
    </w:p>
    <w:p>
      <w:pPr>
        <w:spacing w:after="250"/>
      </w:pPr>
      <w:r>
        <w:rPr>
          <w:i/>
          <w:iCs/>
          <w:color w:val="666666"/>
        </w:rPr>
        <w:t xml:space="preserve">«Hospital Name» — Supports COP.20.c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shd w:fill="D9E2F3" w:val="clear"/>
          </w:tcPr>
          <w:p>
            <w:r>
              <w:rPr>
                <w:b/>
                <w:bCs/>
              </w:rPr>
              <w:t xml:space="preserve">SOP No.</w:t>
            </w:r>
          </w:p>
        </w:tc>
        <w:tc>
          <w:tcPr>
            <w:tcW w:type="dxa" w:w="2340"/>
            <w:gridSpan w:val="1"/>
          </w:tcPr>
          <w:p>
            <w:r>
              <w:t xml:space="preserve">[Hospital to define]</w:t>
            </w:r>
          </w:p>
        </w:tc>
        <w:tc>
          <w:tcPr>
            <w:tcW w:type="dxa" w:w="2340"/>
            <w:gridSpan w:val="1"/>
            <w:shd w:fill="D9E2F3" w:val="clear"/>
          </w:tcPr>
          <w:p>
            <w:r>
              <w:rPr>
                <w:b/>
                <w:bCs/>
              </w:rPr>
              <w:t xml:space="preserve">Version</w:t>
            </w:r>
          </w:p>
        </w:tc>
        <w:tc>
          <w:tcPr>
            <w:tcW w:type="dxa" w:w="2340"/>
            <w:gridSpan w:val="1"/>
          </w:tcPr>
          <w:p>
            <w:r>
              <w:t xml:space="preserve">1.0</w:t>
            </w:r>
          </w:p>
        </w:tc>
      </w:tr>
      <w:tr>
        <w:tc>
          <w:tcPr>
            <w:tcW w:type="dxa" w:w="2340"/>
            <w:gridSpan w:val="1"/>
            <w:shd w:fill="D9E2F3" w:val="clear"/>
          </w:tcPr>
          <w:p>
            <w:r>
              <w:rPr>
                <w:b/>
                <w:bCs/>
              </w:rPr>
              <w:t xml:space="preserve">Effective Date</w:t>
            </w:r>
          </w:p>
        </w:tc>
        <w:tc>
          <w:tcPr>
            <w:tcW w:type="dxa" w:w="2340"/>
            <w:gridSpan w:val="1"/>
          </w:tcPr>
          <w:p>
            <w:r>
              <w:t xml:space="preserve">________</w:t>
            </w:r>
          </w:p>
        </w:tc>
        <w:tc>
          <w:tcPr>
            <w:tcW w:type="dxa" w:w="2340"/>
            <w:gridSpan w:val="1"/>
            <w:shd w:fill="D9E2F3" w:val="clear"/>
          </w:tcPr>
          <w:p>
            <w:r>
              <w:rPr>
                <w:b/>
                <w:bCs/>
              </w:rPr>
              <w:t xml:space="preserve">Review Frequency</w:t>
            </w:r>
          </w:p>
        </w:tc>
        <w:tc>
          <w:tcPr>
            <w:tcW w:type="dxa" w:w="2340"/>
            <w:gridSpan w:val="1"/>
          </w:tcPr>
          <w:p>
            <w:r>
              <w:t xml:space="preserve">Annual, or on change</w:t>
            </w:r>
          </w:p>
        </w:tc>
      </w:tr>
      <w:tr>
        <w:tc>
          <w:tcPr>
            <w:tcW w:type="dxa" w:w="2340"/>
            <w:gridSpan w:val="1"/>
            <w:shd w:fill="D9E2F3" w:val="clear"/>
          </w:tcPr>
          <w:p>
            <w:r>
              <w:rPr>
                <w:b/>
                <w:bCs/>
              </w:rPr>
              <w:t xml:space="preserve">Prepared By</w:t>
            </w:r>
          </w:p>
        </w:tc>
        <w:tc>
          <w:tcPr>
            <w:tcW w:type="dxa" w:w="7020"/>
            <w:gridSpan w:val="3"/>
          </w:tcPr>
          <w:p>
            <w:r>
              <w:t xml:space="preserve">Quality Coordinator   Name: ________   Signature: ________</w:t>
            </w:r>
          </w:p>
        </w:tc>
      </w:tr>
      <w:tr>
        <w:tc>
          <w:tcPr>
            <w:tcW w:type="dxa" w:w="2340"/>
            <w:gridSpan w:val="1"/>
            <w:shd w:fill="D9E2F3" w:val="clear"/>
          </w:tcPr>
          <w:p>
            <w:r>
              <w:rPr>
                <w:b/>
                <w:bCs/>
              </w:rPr>
              <w:t xml:space="preserve">Approved By</w:t>
            </w:r>
          </w:p>
        </w:tc>
        <w:tc>
          <w:tcPr>
            <w:tcW w:type="dxa" w:w="7020"/>
            <w:gridSpan w:val="3"/>
          </w:tcPr>
          <w:p>
            <w:r>
              <w:t xml:space="preserve">Medical Superintendent   Name: ________   Signature: ________</w:t>
            </w:r>
          </w:p>
        </w:tc>
      </w:tr>
    </w:tbl>
    <w:p>
      <w:pPr>
        <w:spacing w:after="250"/>
      </w:pPr>
    </w:p>
    <w:p>
      <w:pPr>
        <w:pStyle w:val="Heading1"/>
        <w:spacing w:after="150" w:before="300"/>
      </w:pPr>
      <w:r>
        <w:t xml:space="preserve">1. Purpose</w:t>
      </w:r>
    </w:p>
    <w:p>
      <w:pPr>
        <w:spacing w:after="150"/>
      </w:pPr>
      <w:r>
        <w:t xml:space="preserve">This SOP describes how «Hospital Name» makes and documents a Do Not Resuscitate, Do Not Intubate, or Allow Natural Death decision, strictly within the current legal framework.</w:t>
      </w:r>
    </w:p>
    <w:p>
      <w:pPr>
        <w:pStyle w:val="Heading1"/>
        <w:spacing w:after="150" w:before="300"/>
      </w:pPr>
      <w:r>
        <w:t xml:space="preserve">2. Scope</w:t>
      </w:r>
    </w:p>
    <w:p>
      <w:pPr>
        <w:spacing w:after="150"/>
      </w:pPr>
      <w:r>
        <w:t xml:space="preserve">Applies to every DNR, DNI, or AND decision made at the hospital.</w:t>
      </w:r>
    </w:p>
    <w:p>
      <w:pPr>
        <w:pStyle w:val="Heading1"/>
        <w:spacing w:after="150" w:before="300"/>
      </w:pPr>
      <w:r>
        <w:t xml:space="preserve">3. Responsibility</w:t>
      </w:r>
    </w:p>
    <w:p>
      <w:pPr>
        <w:spacing w:after="100"/>
      </w:pPr>
      <w:r>
        <w:rPr>
          <w:b/>
          <w:bCs/>
        </w:rPr>
        <w:t xml:space="preserve">Treating Doctor: </w:t>
      </w:r>
      <w:r>
        <w:t xml:space="preserve">confirms the legal basis, discusses with the patient/family, and documents the decision.</w:t>
      </w:r>
    </w:p>
    <w:p>
      <w:pPr>
        <w:pStyle w:val="Heading1"/>
        <w:spacing w:after="150" w:before="300"/>
      </w:pPr>
      <w:r>
        <w:t xml:space="preserve">4. Procedure</w:t>
      </w:r>
    </w:p>
    <w:p>
      <w:pPr>
        <w:spacing w:after="120"/>
      </w:pPr>
      <w:r>
        <w:rPr>
          <w:b/>
          <w:bCs/>
        </w:rPr>
        <w:t xml:space="preserve">1. </w:t>
      </w:r>
      <w:r>
        <w:t xml:space="preserve">Before any DNR/DNI/AND decision, confirm the current, correct version of the applicable legal framework — the ICMR guideline and the relevant Supreme Court directive, plus any State-specific requirement.</w:t>
      </w:r>
    </w:p>
    <w:p>
      <w:pPr>
        <w:spacing w:after="120"/>
      </w:pPr>
      <w:r>
        <w:rPr>
          <w:b/>
          <w:bCs/>
        </w:rPr>
        <w:t xml:space="preserve">2. </w:t>
      </w:r>
      <w:r>
        <w:t xml:space="preserve">Discuss the decision with the patient (if capable) or family/legal representative, in a language and manner they understand.</w:t>
      </w:r>
    </w:p>
    <w:p>
      <w:pPr>
        <w:spacing w:after="120"/>
      </w:pPr>
      <w:r>
        <w:rPr>
          <w:b/>
          <w:bCs/>
        </w:rPr>
        <w:t xml:space="preserve">3. </w:t>
      </w:r>
      <w:r>
        <w:t xml:space="preserve">Document the decision with its legal basis explicitly stated — never record a decision without naming the framework it was made under.</w:t>
      </w:r>
    </w:p>
    <w:p>
      <w:pPr>
        <w:spacing w:after="120"/>
      </w:pPr>
      <w:r>
        <w:rPr>
          <w:b/>
          <w:bCs/>
        </w:rPr>
        <w:t xml:space="preserve">4. </w:t>
      </w:r>
      <w:r>
        <w:t xml:space="preserve">Involve the multi-professional team (doctor, nurse, counsellor/chaplain where relevant) in the decision, not the treating doctor alone.</w:t>
      </w:r>
    </w:p>
    <w:p>
      <w:pPr>
        <w:spacing w:after="120"/>
      </w:pPr>
      <w:r>
        <w:rPr>
          <w:b/>
          <w:bCs/>
        </w:rPr>
        <w:t xml:space="preserve">5. </w:t>
      </w:r>
      <w:r>
        <w:t xml:space="preserve">Continue symptomatic treatment and pain relief regardless of the DNR/DNI/AND status — this decision limits resuscitation, not ongoing care.</w:t>
      </w:r>
    </w:p>
    <w:p>
      <w:pPr>
        <w:pStyle w:val="Heading1"/>
        <w:spacing w:after="150" w:before="300"/>
      </w:pPr>
      <w:r>
        <w:t xml:space="preserve">5. Records</w:t>
      </w:r>
    </w:p>
    <w:p>
      <w:pPr>
        <w:spacing w:after="150"/>
      </w:pPr>
      <w:r>
        <w:t xml:space="preserve">Supported by Records 3 and 4 of the COP.20 Required Records pack.</w:t>
      </w:r>
    </w:p>
    <w:p>
      <w:pPr>
        <w:pStyle w:val="Heading1"/>
        <w:spacing w:after="150" w:before="300"/>
      </w:pPr>
      <w:r>
        <w:t xml:space="preserve">6. Related Documents</w:t>
      </w:r>
    </w:p>
    <w:p>
      <w:pPr>
        <w:pStyle w:val="ListParagraph"/>
        <w:numPr>
          <w:ilvl w:val="0"/>
          <w:numId w:val="1"/>
        </w:numPr>
        <w:spacing w:after="80"/>
      </w:pPr>
      <w:r>
        <w:t>Policy on End-of-Life Care (HCO/COP/POL/20) — COP.20 policy</w:t>
      </w:r>
    </w:p>
    <w:p>
      <w:pPr>
        <w:pStyle w:val="Heading1"/>
        <w:spacing w:after="150" w:before="300"/>
      </w:pPr>
      <w:r>
        <w:t xml:space="preserve">7. Review</w:t>
      </w:r>
    </w:p>
    <w:p>
      <w:pPr>
        <w:spacing w:after="150"/>
      </w:pPr>
      <w:r>
        <w:t xml:space="preserve">Reviewed annually, and immediately if the ICMR guideline, a Supreme Court directive, or a State requirement changes.</w:t>
      </w:r>
    </w:p>
    <w:p>
      <w:pPr>
        <w:pStyle w:val="Heading1"/>
        <w:spacing w:after="150" w:before="300"/>
      </w:pPr>
      <w:r>
        <w:t xml:space="preserve">8. References</w:t>
      </w:r>
    </w:p>
    <w:p>
      <w:pPr>
        <w:pStyle w:val="ListParagraph"/>
        <w:numPr>
          <w:ilvl w:val="0"/>
          <w:numId w:val="1"/>
        </w:numPr>
        <w:spacing w:after="80"/>
      </w:pPr>
      <w:r>
        <w:t xml:space="preserve">This SOP does not cite a separate external source beyond what the COP.20 policy already names — the current Indian Council of Medical Research (ICMR) DNR Guideline and the applicable Supreme Court of India directive on passive euthanasia and advance medical directives. «Hospital Name» is responsible for verifying it is applying the current version of both at the time of any decision.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2026-09-18T18:09:42.675Z</dcterms:created>
  <dcterms:modified xsi:type="dcterms:W3CDTF">2026-09-18T18:09:42.675Z</dcterms:modified>
</cp:coreProperties>
</file>

<file path=docProps/custom.xml><?xml version="1.0" encoding="utf-8"?>
<Properties xmlns="http://schemas.openxmlformats.org/officeDocument/2006/custom-properties" xmlns:vt="http://schemas.openxmlformats.org/officeDocument/2006/docPropsVTypes"/>
</file>