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Incident Management and Safety Events</w:t>
      </w:r>
    </w:p>
    <w:p>
      <w:r>
        <w:t>«Hospital Name» — Supports PSQ.7</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The purpose of this policy is to establish the process for identification, reporting, review, analysis and management of incidents and relevant safety events. This policy does not cover matters outside incident management. If you're new to patient safety and quality work,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The purpose of this policy is to establish the process for identification, reporting, review, analysis and management of incidents and relevant safety events. This policy does not cover matters outside incident management.</w:t>
      </w:r>
    </w:p>
    <w:p>
      <w:pPr>
        <w:pStyle w:val="Heading1"/>
      </w:pPr>
      <w:r>
        <w:t>2. Scope</w:t>
      </w:r>
    </w:p>
    <w:p>
      <w:r>
        <w:t>This policy applies to incidents occurring within «Hospital Name» and to personnel involved in incident reporting, review, analysis, corrective and preventive action, risk management and stakeholder communication. It includes sentinel events, near misses and adverse events as described in the source requirements.</w:t>
      </w:r>
    </w:p>
    <w:p>
      <w:pPr>
        <w:pStyle w:val="Heading1"/>
      </w:pPr>
      <w:r>
        <w:t>3. Responsibility</w:t>
      </w:r>
    </w:p>
    <w:p>
      <w:r>
        <w:t xml:space="preserve">Quality Coordinator: leads day-to-day work on this policy and owns the required records.</w:t>
      </w:r>
    </w:p>
    <w:p>
      <w:r>
        <w:t xml:space="preserve">Safety/Quality Committee: reviews progress on this policy at least monthly and signs off the annual review.</w:t>
      </w:r>
    </w:p>
    <w:p>
      <w:r>
        <w:t xml:space="preserve">Department Heads: carry out the parts of this policy that apply within their own department.</w:t>
      </w:r>
    </w:p>
    <w:p>
      <w:r>
        <w:t xml:space="preserve">Medical Superintendent / Governing Body: provides resources and reviews outcomes reported to them.</w:t>
      </w:r>
    </w:p>
    <w:p>
      <w:r>
        <w:t xml:space="preserve">All staff in scope: 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Sentinel Event: </w:t>
      </w:r>
      <w:r>
        <w:t>A serious, unexpected incident causing death or major harm that the organisation has decided in advance always gets a full analysis.</w:t>
      </w:r>
    </w:p>
    <w:p>
      <w:pPr>
        <w:pStyle w:val="ListParagraph"/>
      </w:pPr>
      <w:r>
        <w:rPr>
          <w:b/>
        </w:rPr>
        <w:t xml:space="preserve">Near Miss: </w:t>
      </w:r>
      <w:r>
        <w:t>Something that could have harmed a patient but was caught before it did.</w:t>
      </w:r>
    </w:p>
    <w:p>
      <w:pPr>
        <w:pStyle w:val="ListParagraph"/>
      </w:pPr>
      <w:r>
        <w:rPr>
          <w:b/>
        </w:rPr>
        <w:t xml:space="preserve">Adverse Event: </w:t>
      </w:r>
      <w:r>
        <w:t>An incident that did cause some harm to a patient.</w:t>
      </w:r>
    </w:p>
    <w:p>
      <w:pPr>
        <w:pStyle w:val="ListParagraph"/>
      </w:pPr>
      <w:r>
        <w:rPr>
          <w:b/>
        </w:rPr>
        <w:t xml:space="preserve">Root-Cause Analysis (RCA): </w:t>
      </w:r>
      <w:r>
        <w:t>Asking 'why' repeatedly until the real underlying cause is found, not just the first obvious mistake.</w:t>
      </w:r>
    </w:p>
    <w:p>
      <w:pPr>
        <w:pStyle w:val="ListParagraph"/>
      </w:pPr>
      <w:r>
        <w:rPr>
          <w:b/>
        </w:rPr>
        <w:t xml:space="preserve">5 Whys: </w:t>
      </w:r>
      <w:r>
        <w:t>A simple root-cause technique: ask 'why did that happen' about the answer you just got, five times in a row, until you reach the real underlying cause instead of stopping at the first obvious one.</w:t>
      </w:r>
    </w:p>
    <w:p>
      <w:pPr>
        <w:pStyle w:val="ListParagraph"/>
      </w:pPr>
      <w:r>
        <w:rPr>
          <w:b/>
        </w:rPr>
        <w:t xml:space="preserve">Fishbone (Ishikawa) Diagram: </w:t>
      </w:r>
      <w:r>
        <w:t>A diagram shaped like a fish skeleton used in root-cause analysis to sort possible causes into categories (people, process, equipment, environment, policy, communication) so none get missed.</w:t>
      </w:r>
    </w:p>
    <w:p>
      <w:pPr>
        <w:pStyle w:val="Heading1"/>
      </w:pPr>
      <w:r>
        <w:t>5. Procedure</w:t>
      </w:r>
    </w:p>
    <w:p>
      <w:pPr>
        <w:pStyle w:val="Heading2"/>
      </w:pPr>
      <w:r>
        <w:t>5.1 Operate the incident management system</w:t>
      </w:r>
    </w:p>
    <w:p>
      <w:r>
        <w:rPr>
          <w:b/>
          <w:i/>
        </w:rPr>
        <w:t>Why this step matters: A reporting system staff don't trust gets used to hide problems instead of surfacing them — simplicity and a genuinely no-blame framing are what make people actually use it.</w:t>
      </w:r>
      <w:r>
        <w:rPr>
          <w:i/>
        </w:rPr>
      </w:r>
    </w:p>
    <w:p>
      <w:r>
        <w:t>1. Use standardised incident report forms that capture every incident regardless of severity or whether harm actually occurred — a system that only captures harmful events misses the near-misses that predict them.</w:t>
      </w:r>
    </w:p>
    <w:p>
      <w:r>
        <w:t>2. Design the reporting process for simplicity, clarity and confidentiality, and frame it explicitly around learning and process improvement, not blame.</w:t>
      </w:r>
    </w:p>
    <w:p>
      <w:r>
        <w:t>3. Route every report through defined identification → reporting → review → action stages, each with an owner, so a report never simply sits unreviewed.</w:t>
      </w:r>
    </w:p>
    <w:p>
      <w:r>
        <w:rPr>
          <w:b/>
          <w:i/>
          <w:sz w:val="18"/>
        </w:rPr>
        <w:t xml:space="preserve">Technical source(s) for these steps: </w:t>
      </w:r>
    </w:p>
    <w:p>
      <w:pPr>
        <w:pStyle w:val="ListParagraph"/>
      </w:pPr>
      <w:hyperlink r:id="rId9">
        <w:r>
          <w:rPr>
            <w:color w:val="0563C1"/>
            <w:u w:val="single"/>
          </w:rPr>
          <w:t>Agency for Healthcare Research and Quality, Patient Safety Network. (n.d.). Adverse events, near misses, and errors.</w:t>
        </w:r>
      </w:hyperlink>
    </w:p>
    <w:p>
      <w:pPr>
        <w:pStyle w:val="Heading2"/>
      </w:pPr>
      <w:r>
        <w:t>5.2 Identify sentinel events</w:t>
      </w:r>
    </w:p>
    <w:p>
      <w:r>
        <w:rPr>
          <w:b/>
          <w:i/>
        </w:rPr>
        <w:t>Why this step matters: Without a written list agreed in advance, whether an event counts as 'sentinel' becomes a judgment call made in the heat of the moment by whoever happens to be on shift.</w:t>
      </w:r>
      <w:r>
        <w:rPr>
          <w:i/>
        </w:rPr>
      </w:r>
    </w:p>
    <w:p>
      <w:r>
        <w:t>1. Define, in writing, the hospital's own list of sentinel events — serious events tied to a system or process deficiency — rather than relying on an undefined “we'll know it when we see it.”</w:t>
      </w:r>
    </w:p>
    <w:p>
      <w:r>
        <w:t>2. Review and update the list periodically so it stays relevant to the hospital's actual services.</w:t>
      </w:r>
    </w:p>
    <w:p>
      <w:r>
        <w:rPr>
          <w:b/>
          <w:i/>
          <w:sz w:val="18"/>
        </w:rPr>
        <w:t xml:space="preserve">Technical source(s) for these steps: </w:t>
      </w:r>
    </w:p>
    <w:p>
      <w:pPr>
        <w:pStyle w:val="ListParagraph"/>
      </w:pPr>
      <w:r>
        <w:rPr>
          <w:i/>
          <w:sz w:val="18"/>
        </w:rPr>
        <w:t>National Accreditation Board for Hospitals and Healthcare Providers. Guidebook to Accreditation Standards for Hospitals, 6th Edition, Glossary of Terms.</w:t>
      </w:r>
    </w:p>
    <w:p>
      <w:pPr>
        <w:pStyle w:val="Heading2"/>
      </w:pPr>
      <w:r>
        <w:t>5.3 Analyse incidents</w:t>
      </w:r>
    </w:p>
    <w:p>
      <w:r>
        <w:rPr>
          <w:b/>
          <w:i/>
        </w:rPr>
        <w:t>Why this step matters: Stopping at the first visible mistake — a tired nurse, a rushed doctor — fixes nothing; the same system failure will cause the next person to make the same error.</w:t>
      </w:r>
      <w:r>
        <w:rPr>
          <w:i/>
        </w:rPr>
      </w:r>
    </w:p>
    <w:p>
      <w:r>
        <w:t>1. Make the Safety Committee explicitly responsible for incident analysis — not one individual acting alone.</w:t>
      </w:r>
    </w:p>
    <w:p>
      <w:r>
        <w:t>2. Secure the scene/equipment/records immediately, and reconstruct a timeline of exactly what happened before memory fades.</w:t>
      </w:r>
    </w:p>
    <w:p>
      <w:r>
        <w:t>3. Use root-cause analysis — a fishbone/Ishikawa diagram across people/process/equipment/environment/policy/communication, drilled with 5 Whys — to reach the systemic cause, not the first visible mistake.</w:t>
      </w:r>
    </w:p>
    <w:p>
      <w:r>
        <w:t>4. For a sentinel event, start correction action within 24 working hours of occurrence or reporting, and complete the full analysis within 7 working days.</w:t>
      </w:r>
    </w:p>
    <w:p>
      <w:r>
        <w:t>5. Obtain input from the units/disciplines/departments concerned, and involve the patient/family in the analysis where appropriate.</w:t>
      </w:r>
    </w:p>
    <w:p>
      <w:r>
        <w:rPr>
          <w:b/>
          <w:i/>
          <w:sz w:val="18"/>
        </w:rPr>
        <w:t xml:space="preserve">Technical source(s) for these steps: </w:t>
      </w:r>
    </w:p>
    <w:p>
      <w:pPr>
        <w:pStyle w:val="ListParagraph"/>
      </w:pPr>
      <w:hyperlink r:id="rId10">
        <w:r>
          <w:rPr>
            <w:color w:val="0563C1"/>
            <w:u w:val="single"/>
          </w:rPr>
          <w:t>Centers for Medicare &amp; Medicaid Services. (n.d.). Guidance for performing root cause analysis (RCA) with performance improvement projects (PIPs).</w:t>
        </w:r>
      </w:hyperlink>
    </w:p>
    <w:p>
      <w:pPr>
        <w:pStyle w:val="ListParagraph"/>
      </w:pPr>
      <w:r>
        <w:t>Note: this CMS guidance is cited for RCA technique only. NABH does not mandate this specific methodology or body — the requirement to conduct and document a root-cause analysis comes from NABH’s own PSQ.7 standard, which any structured RCA technique can satisfy.</w:t>
      </w:r>
    </w:p>
    <w:p>
      <w:pPr>
        <w:pStyle w:val="Heading2"/>
      </w:pPr>
      <w:r>
        <w:t>5.4 Take corrective and preventive action</w:t>
      </w:r>
    </w:p>
    <w:p>
      <w:r>
        <w:rPr>
          <w:b/>
          <w:i/>
        </w:rPr>
        <w:t>Why this step matters: Fixing today's specific case without a preventive action for the system behind it guarantees the same incident happens again, just to someone else.</w:t>
      </w:r>
      <w:r>
        <w:rPr>
          <w:i/>
        </w:rPr>
      </w:r>
    </w:p>
    <w:p>
      <w:r>
        <w:t>1. Contain the immediate problem first — fix the specific situation before the full investigation is complete.</w:t>
      </w:r>
    </w:p>
    <w:p>
      <w:r>
        <w:t>2. Document both the corrective action (fixes this specific case) and the preventive action (stops recurrence elsewhere), each with a named owner and due date.</w:t>
      </w:r>
    </w:p>
    <w:p>
      <w:r>
        <w:t>3. Communicate the findings and recommendations to every member of staff concerned, and amend the relevant policy or procedure where the analysis shows it's needed.</w:t>
      </w:r>
    </w:p>
    <w:p>
      <w:r>
        <w:t>4. Verify the action actually worked at a defined follow-up point before formally closing it.</w:t>
      </w:r>
    </w:p>
    <w:p>
      <w:r>
        <w:rPr>
          <w:b/>
          <w:i/>
          <w:sz w:val="18"/>
        </w:rPr>
        <w:t xml:space="preserve">Technical source(s) for these steps: </w:t>
      </w:r>
    </w:p>
    <w:p>
      <w:pPr>
        <w:pStyle w:val="ListParagraph"/>
      </w:pPr>
      <w:hyperlink r:id="rId10">
        <w:r>
          <w:rPr>
            <w:color w:val="0563C1"/>
            <w:u w:val="single"/>
          </w:rPr>
          <w:t>Centers for Medicare &amp; Medicaid Services. (n.d.). Guidance for performing root cause analysis (RCA) with performance improvement projects (PIPs).</w:t>
        </w:r>
      </w:hyperlink>
    </w:p>
    <w:p>
      <w:pPr>
        <w:pStyle w:val="ListParagraph"/>
      </w:pPr>
      <w:r>
        <w:t>Note: this CMS guidance is cited for RCA technique only. NABH does not mandate this specific methodology or body — the requirement to conduct and document a root-cause analysis comes from NABH’s own PSQ.7 standard, which any structured RCA technique can satisfy.</w:t>
      </w:r>
    </w:p>
    <w:p>
      <w:pPr>
        <w:pStyle w:val="Heading2"/>
      </w:pPr>
      <w:r>
        <w:t>5.5 Manage unidentified risks</w:t>
      </w:r>
    </w:p>
    <w:p>
      <w:r>
        <w:rPr>
          <w:b/>
          <w:i/>
        </w:rPr>
        <w:t>Why this step matters: A risk an incident investigation uncovers but never adds to the risk register gets forgotten the moment that incident's file is closed.</w:t>
      </w:r>
      <w:r>
        <w:rPr>
          <w:i/>
        </w:rPr>
      </w:r>
    </w:p>
    <w:p>
      <w:r>
        <w:t>1. When incident analysis surfaces a risk that wasn't on any existing risk register, treat it as a new finding — don't fold it quietly into the incident's own closure.</w:t>
      </w:r>
    </w:p>
    <w:p>
      <w:r>
        <w:t>2. Score the newly identified risk on a likelihood × consequence matrix, assign an owner, and treat/mitigate it the same way any other risk-register entry is managed.</w:t>
      </w:r>
    </w:p>
    <w:p>
      <w:r>
        <w:rPr>
          <w:b/>
          <w:i/>
          <w:sz w:val="18"/>
        </w:rPr>
        <w:t xml:space="preserve">Technical source(s) for these steps: </w:t>
      </w:r>
    </w:p>
    <w:p>
      <w:pPr>
        <w:pStyle w:val="ListParagraph"/>
      </w:pPr>
      <w:hyperlink r:id="rId11">
        <w:r>
          <w:rPr>
            <w:color w:val="0563C1"/>
            <w:u w:val="single"/>
          </w:rPr>
          <w:t>International Organization for Standardization. (2018). ISO 31000:2018 — Risk management — Guidelines.</w:t>
        </w:r>
      </w:hyperlink>
    </w:p>
    <w:p>
      <w:pPr>
        <w:pStyle w:val="Heading2"/>
      </w:pPr>
      <w:r>
        <w:t>5.6 Inform stakeholders</w:t>
      </w:r>
    </w:p>
    <w:p>
      <w:r>
        <w:rPr>
          <w:b/>
          <w:i/>
        </w:rPr>
        <w:t>Why this step matters: A patient or family who learns what happened from someone other than the hospital loses a kind of trust that's very hard to rebuild.</w:t>
      </w:r>
      <w:r>
        <w:rPr>
          <w:i/>
        </w:rPr>
      </w:r>
    </w:p>
    <w:p>
      <w:r>
        <w:t>1. After analysis, classify the event honestly as a near miss, adverse event, or sentinel event — the classification decides who needs to be told and how.</w:t>
      </w:r>
    </w:p>
    <w:p>
      <w:r>
        <w:t>2. Communicate relevant concerns to affected stakeholders, including the patient and family where applicable, and document who was told, what, and when.</w:t>
      </w:r>
    </w:p>
    <w:p>
      <w:r>
        <w:rPr>
          <w:b/>
          <w:i/>
          <w:sz w:val="18"/>
        </w:rPr>
        <w:t xml:space="preserve">Technical source(s) for these steps: </w:t>
      </w:r>
    </w:p>
    <w:p>
      <w:pPr>
        <w:pStyle w:val="ListParagraph"/>
      </w:pPr>
      <w:hyperlink r:id="rId9">
        <w:r>
          <w:rPr>
            <w:color w:val="0563C1"/>
            <w:u w:val="single"/>
          </w:rPr>
          <w:t>Agency for Healthcare Research and Quality, Patient Safety Network. (n.d.). Adverse events, near misses, and errors.</w:t>
        </w:r>
      </w:hyperlink>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Absence of an implemented incident management system is CORE non-compliance. The incident management system must include identification, reporting, review and action on incidents. Failure to have an implemented system covering these components constitutes the specified stop-work trigger.</w:t>
      </w:r>
    </w:p>
    <w:p>
      <w:pPr>
        <w:pStyle w:val="Heading1"/>
      </w:pPr>
      <w:r>
        <w:t>7. Records</w:t>
      </w:r>
    </w:p>
    <w:p>
      <w:r>
        <w:t>This SOP produces and maintains Records 1 through 23 (see the PSQ.7 Records folder).</w:t>
      </w:r>
    </w:p>
    <w:p>
      <w:pPr>
        <w:pStyle w:val="Heading1"/>
      </w:pPr>
      <w:r>
        <w:t>8. Related Documents</w:t>
      </w:r>
    </w:p>
    <w:p>
      <w:pPr>
        <w:pStyle w:val="ListParagraph"/>
      </w:pPr>
      <w:r>
        <w:t>Policy on Incident Management and Safety Events (HCO/PSQ/POL/07) — this policy</w:t>
      </w:r>
    </w:p>
    <w:p>
      <w:pPr>
        <w:pStyle w:val="ListParagraph"/>
      </w:pPr>
      <w:r>
        <w:t>Required Records — PSQ.7 (see PSQ.7 Records folder)</w:t>
      </w:r>
    </w:p>
    <w:p>
      <w:pPr>
        <w:pStyle w:val="Heading1"/>
      </w:pPr>
      <w:r>
        <w:t>9. Where This SOP's Requirements Come From (Verified Sources)</w:t>
      </w:r>
    </w:p>
    <w:p>
      <w:pPr>
        <w:pStyle w:val="ListParagraph"/>
      </w:pPr>
      <w:r>
        <w:rPr>
          <w:i/>
        </w:rPr>
        <w:t>National Accreditation Board for Hospitals and Healthcare Providers. (2025). NABH accreditation standards for hospitals (6th ed.), PSQ.7. ISBN 978-81-965264-9-8. https://portal.nabh.co/images/Standards/NABH%20Hospital%20Accreditation%20Standard%206th%20Edition%20January%202025.pdf</w:t>
      </w:r>
    </w:p>
    <w:p>
      <w:pPr>
        <w:pStyle w:val="ListParagraph"/>
      </w:pPr>
      <w:r>
        <w:rPr>
          <w:i/>
        </w:rPr>
        <w:t>NABH — Guidebook to Accreditation Standards for Hospitals, 6th Edition, Glossary of Terms (definitions of safety programme, no-harm, sentinel events) — named source, no working link could be verified from here; check directly.</w:t>
      </w:r>
    </w:p>
    <w:p>
      <w:pPr>
        <w:pStyle w:val="ListParagraph"/>
      </w:pPr>
      <w:hyperlink r:id="rId12">
        <w:r>
          <w:rPr>
            <w:color w:val="0563C1"/>
            <w:u w:val="single"/>
          </w:rPr>
          <w:t>World Health Organization — Patient Safety Solutions</w:t>
        </w:r>
      </w:hyperlink>
    </w:p>
    <w:p>
      <w:pPr>
        <w:pStyle w:val="Heading1"/>
      </w:pPr>
      <w:r>
        <w:t>10. Review</w:t>
      </w:r>
    </w:p>
    <w:p>
      <w:r>
        <w:t>This SOP is reviewed at least annually by the Quality Coordinator together with the Safety/Quality Committee, using the outcomes of the annual programme review, and immediately if an audit or incident analysis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snet.ahrq.gov/primer/adverse-events-near-misses-and-errors" TargetMode="External"/><Relationship Id="rId10" Type="http://schemas.openxmlformats.org/officeDocument/2006/relationships/hyperlink" Target="https://www.cms.gov/medicare/provider-enrollment-and-certification/qapi/downloads/guidanceforrca.pdf" TargetMode="External"/><Relationship Id="rId11" Type="http://schemas.openxmlformats.org/officeDocument/2006/relationships/hyperlink" Target="https://www.iso.org/standard/65694.html" TargetMode="External"/><Relationship Id="rId12" Type="http://schemas.openxmlformats.org/officeDocument/2006/relationships/hyperlink" Target="https://www.who.int/teams/integrated-health-services/patient-safety/research/patient-safety-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