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PSQ.1.b — The patient safety programme identifies opportunities for improvement based on review at pre-defined intervals.</w:t>
      </w:r>
    </w:p>
    <w:p>
      <w:r>
        <w:t>PSQ.1 Record 03 — Patient-safety opportunity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improvement opportunities were actually logged with a source, owner and target date, and reviewed on schedule -- not a list that was started and abandoned.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opportunity identified from a near-miss report is logged, assigned to the ward in-charge, and closed within the target date.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programme that only reacts after an incident report arrives is always one step behind -- a defined review interval is what catches a risk before it becomes an incident.</w:t>
            </w:r>
          </w:p>
        </w:tc>
      </w:tr>
    </w:tbl>
    <w:p/>
    <w:p>
      <w:r>
        <w:t>How to fill this in — column by column</w:t>
      </w:r>
    </w:p>
    <w:p>
      <w:r>
        <w:t>Date Logged: When identified.</w:t>
      </w:r>
    </w:p>
    <w:p>
      <w:r>
        <w:t>Opportunity / Source: What and where from.</w:t>
      </w:r>
    </w:p>
    <w:p>
      <w:r>
        <w:t>Owner: Who is responsible.</w:t>
      </w:r>
    </w:p>
    <w:p>
      <w:r>
        <w:t>Target Date: Deadline.</w:t>
      </w:r>
    </w:p>
    <w:p>
      <w:r>
        <w:t>Status: Open, in progress,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 Logged</w:t>
            </w:r>
          </w:p>
        </w:tc>
        <w:tc>
          <w:tcPr>
            <w:tcW w:type="dxa" w:w="1728"/>
          </w:tcPr>
          <w:p>
            <w:r>
              <w:t>Opportunity / Source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Target 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15-Apr-2026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IV line mislabelling (near-miss report)</w:t>
            </w:r>
          </w:p>
        </w:tc>
        <w:tc>
          <w:tcPr>
            <w:tcW w:type="dxa" w:w="1728"/>
            <w:shd w:val="clear" w:color="auto" w:fill="FFF2CC"/>
          </w:tcPr>
          <w:p>
            <w:r>
              <w:t>Ward In-Charge R. Patel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