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PSQ.2.b — The organisation identifies and monitors the key indicators to oversee infection control activities.</w:t>
      </w:r>
    </w:p>
    <w:p>
      <w:r>
        <w:t>PSQ.2 Record 03 — Infection-control indicator register and monthly data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infection-control indicators are actually defined, aligned to the infection-control programme, and tracked monthly -- not assumed covered because a programme exists.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Hand hygiene compliance is tracked monthly at 88%, below the 90% target, triggering a committee-reviewed action.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An infection-control programme that is not actually measured by its own indicators cannot tell the difference between a programme that is working and one that only looks like it is.</w:t>
            </w:r>
          </w:p>
        </w:tc>
      </w:tr>
    </w:tbl>
    <w:p/>
    <w:p>
      <w:r>
        <w:t>How to fill this in — column by column</w:t>
      </w:r>
    </w:p>
    <w:p>
      <w:r>
        <w:t>Month: Which month.</w:t>
      </w:r>
    </w:p>
    <w:p>
      <w:r>
        <w:t>Indicator: Hand hygiene, SSI, catheter-associated infection, etc.</w:t>
      </w:r>
    </w:p>
    <w:p>
      <w:r>
        <w:t>Value: Measured result.</w:t>
      </w:r>
    </w:p>
    <w:p>
      <w:r>
        <w:t>Threshold Breached (Y/N): Confirmed.</w:t>
      </w:r>
    </w:p>
    <w:p>
      <w:r>
        <w:t>Action Taken (if breached): What was done.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Safety and Quality Improvement chapter, standard PSQ.2.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Month</w:t>
            </w:r>
          </w:p>
        </w:tc>
        <w:tc>
          <w:tcPr>
            <w:tcW w:type="dxa" w:w="1728"/>
          </w:tcPr>
          <w:p>
            <w:r>
              <w:t>Indicator</w:t>
            </w:r>
          </w:p>
        </w:tc>
        <w:tc>
          <w:tcPr>
            <w:tcW w:type="dxa" w:w="1728"/>
          </w:tcPr>
          <w:p>
            <w:r>
              <w:t>Value</w:t>
            </w:r>
          </w:p>
        </w:tc>
        <w:tc>
          <w:tcPr>
            <w:tcW w:type="dxa" w:w="1728"/>
          </w:tcPr>
          <w:p>
            <w:r>
              <w:t>Threshold Breached (Y/N)</w:t>
            </w:r>
          </w:p>
        </w:tc>
        <w:tc>
          <w:tcPr>
            <w:tcW w:type="dxa" w:w="1728"/>
          </w:tcPr>
          <w:p>
            <w:r>
              <w:t>Action Taken (if breached)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April 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Hand hygiene compliance</w:t>
            </w:r>
          </w:p>
        </w:tc>
        <w:tc>
          <w:tcPr>
            <w:tcW w:type="dxa" w:w="1728"/>
            <w:shd w:val="clear" w:color="auto" w:fill="FFF2CC"/>
          </w:tcPr>
          <w:p>
            <w:r>
              <w:t>88%</w:t>
            </w:r>
          </w:p>
        </w:tc>
        <w:tc>
          <w:tcPr>
            <w:tcW w:type="dxa" w:w="1728"/>
            <w:shd w:val="clear" w:color="auto" w:fill="FFF2CC"/>
          </w:tcPr>
          <w:p>
            <w:r>
              <w:t>Y — below 90% target</w:t>
            </w:r>
          </w:p>
        </w:tc>
        <w:tc>
          <w:tcPr>
            <w:tcW w:type="dxa" w:w="1728"/>
            <w:shd w:val="clear" w:color="auto" w:fill="FFF2CC"/>
          </w:tcPr>
          <w:p>
            <w:r>
              <w:t>Re-training session scheduled for ward staff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