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PSQ.2.c — The organisation identifies and monitors the key indicators to oversee the managerial structures, processes and outcomes.</w:t>
      </w:r>
    </w:p>
    <w:p>
      <w:r>
        <w:t>PSQ.2 Record 04 — Managerial indicator register and periodic data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managerial indicators -- not only clinical ones -- are actually defined and tracked, with a data source and responsible person for each.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Average outpatient waiting time is tracked quarterly at 35 minutes, reviewed against a 30-minute target.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hospital that only measures clinical outcomes and never its own management is blind to the half of its problems that are administrative, not clinical.</w:t>
            </w:r>
          </w:p>
        </w:tc>
      </w:tr>
    </w:tbl>
    <w:p/>
    <w:p>
      <w:r>
        <w:t>How to fill this in — column by column</w:t>
      </w:r>
    </w:p>
    <w:p>
      <w:r>
        <w:t>Indicator: What is measured.</w:t>
      </w:r>
    </w:p>
    <w:p>
      <w:r>
        <w:t>Data Source / Responsible Person: Where from and who.</w:t>
      </w:r>
    </w:p>
    <w:p>
      <w:r>
        <w:t>Frequency: How often.</w:t>
      </w:r>
    </w:p>
    <w:p>
      <w:r>
        <w:t>Period Value: Measured result.</w:t>
      </w:r>
    </w:p>
    <w:p>
      <w:r>
        <w:t>Reviewed By Committee (Y/N, Date):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Indicator</w:t>
            </w:r>
          </w:p>
        </w:tc>
        <w:tc>
          <w:tcPr>
            <w:tcW w:type="dxa" w:w="1728"/>
          </w:tcPr>
          <w:p>
            <w:r>
              <w:t>Data Source / Responsible Person</w:t>
            </w:r>
          </w:p>
        </w:tc>
        <w:tc>
          <w:tcPr>
            <w:tcW w:type="dxa" w:w="1728"/>
          </w:tcPr>
          <w:p>
            <w:r>
              <w:t>Frequency</w:t>
            </w:r>
          </w:p>
        </w:tc>
        <w:tc>
          <w:tcPr>
            <w:tcW w:type="dxa" w:w="1728"/>
          </w:tcPr>
          <w:p>
            <w:r>
              <w:t>Period Value</w:t>
            </w:r>
          </w:p>
        </w:tc>
        <w:tc>
          <w:tcPr>
            <w:tcW w:type="dxa" w:w="1728"/>
          </w:tcPr>
          <w:p>
            <w:r>
              <w:t>Reviewed By Committee (Y/N, Date)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Average OPD waiting time</w:t>
            </w:r>
          </w:p>
        </w:tc>
        <w:tc>
          <w:tcPr>
            <w:tcW w:type="dxa" w:w="1728"/>
            <w:shd w:val="clear" w:color="auto" w:fill="FFF2CC"/>
          </w:tcPr>
          <w:p>
            <w:r>
              <w:t>Registration log / Front-office In-Charge</w:t>
            </w:r>
          </w:p>
        </w:tc>
        <w:tc>
          <w:tcPr>
            <w:tcW w:type="dxa" w:w="1728"/>
            <w:shd w:val="clear" w:color="auto" w:fill="FFF2CC"/>
          </w:tcPr>
          <w:p>
            <w:r>
              <w:t>Quarterly</w:t>
            </w:r>
          </w:p>
        </w:tc>
        <w:tc>
          <w:tcPr>
            <w:tcW w:type="dxa" w:w="1728"/>
            <w:shd w:val="clear" w:color="auto" w:fill="FFF2CC"/>
          </w:tcPr>
          <w:p>
            <w:r>
              <w:t>35 minutes (target: 30)</w:t>
            </w:r>
          </w:p>
        </w:tc>
        <w:tc>
          <w:tcPr>
            <w:tcW w:type="dxa" w:w="1728"/>
            <w:shd w:val="clear" w:color="auto" w:fill="FFF2CC"/>
          </w:tcPr>
          <w:p>
            <w:r>
              <w:t>Y — 10-Jul-2026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