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PSQ.2.d — The organisation identifies and monitors the key indicators to oversee patient safety activities.</w:t>
      </w:r>
    </w:p>
    <w:p>
      <w:r>
        <w:t>PSQ.2 Record 05 — Patient-safety indicator register and trend report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patient-safety indicators are actually linked to the patient-safety programme and reported in trend form -- not single data points with no comparison over time.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fall-rate indicator, reported quarterly, shows a rising trend that triggers a proactive risk review under the patient-safety programme.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patient-safety programme that cannot point to its own trend data is relying on impression rather than evidence that safety is actually improving.</w:t>
            </w:r>
          </w:p>
        </w:tc>
      </w:tr>
    </w:tbl>
    <w:p/>
    <w:p>
      <w:r>
        <w:t>How to fill this in — column by column</w:t>
      </w:r>
    </w:p>
    <w:p>
      <w:r>
        <w:t>Quarter: Reporting period.</w:t>
      </w:r>
    </w:p>
    <w:p>
      <w:r>
        <w:t>Indicator: What is measured.</w:t>
      </w:r>
    </w:p>
    <w:p>
      <w:r>
        <w:t>Value: Measured result.</w:t>
      </w:r>
    </w:p>
    <w:p>
      <w:r>
        <w:t>Trend (Up/Down/Stable): Compared to prior quarter.</w:t>
      </w:r>
    </w:p>
    <w:p>
      <w:r>
        <w:t>Proactive Risk Review Triggered (Y/N): Confirmed.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Safety and Quality Improvement chapter, standard PSQ.2.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Quarter</w:t>
            </w:r>
          </w:p>
        </w:tc>
        <w:tc>
          <w:tcPr>
            <w:tcW w:type="dxa" w:w="1728"/>
          </w:tcPr>
          <w:p>
            <w:r>
              <w:t>Indicator</w:t>
            </w:r>
          </w:p>
        </w:tc>
        <w:tc>
          <w:tcPr>
            <w:tcW w:type="dxa" w:w="1728"/>
          </w:tcPr>
          <w:p>
            <w:r>
              <w:t>Value</w:t>
            </w:r>
          </w:p>
        </w:tc>
        <w:tc>
          <w:tcPr>
            <w:tcW w:type="dxa" w:w="1728"/>
          </w:tcPr>
          <w:p>
            <w:r>
              <w:t>Trend (Up/Down/Stable)</w:t>
            </w:r>
          </w:p>
        </w:tc>
        <w:tc>
          <w:tcPr>
            <w:tcW w:type="dxa" w:w="1728"/>
          </w:tcPr>
          <w:p>
            <w:r>
              <w:t>Proactive Risk Review Triggered (Y/N)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Q2 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Fall rate</w:t>
            </w:r>
          </w:p>
        </w:tc>
        <w:tc>
          <w:tcPr>
            <w:tcW w:type="dxa" w:w="1728"/>
            <w:shd w:val="clear" w:color="auto" w:fill="FFF2CC"/>
          </w:tcPr>
          <w:p>
            <w:r>
              <w:t>1.2 per 1,000 patient-days</w:t>
            </w:r>
          </w:p>
        </w:tc>
        <w:tc>
          <w:tcPr>
            <w:tcW w:type="dxa" w:w="1728"/>
            <w:shd w:val="clear" w:color="auto" w:fill="FFF2CC"/>
          </w:tcPr>
          <w:p>
            <w:r>
              <w:t>Up from 0.8</w:t>
            </w:r>
          </w:p>
        </w:tc>
        <w:tc>
          <w:tcPr>
            <w:tcW w:type="dxa" w:w="1728"/>
            <w:shd w:val="clear" w:color="auto" w:fill="FFF2CC"/>
          </w:tcPr>
          <w:p>
            <w:r>
              <w:t>Y — referred to PSQ.1.c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