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PSQ.5.e — The organisation shall have a process for informing various stakeholders in case of a near miss / adverse event / sentinel event.</w:t>
      </w:r>
    </w:p>
    <w:p>
      <w:r>
        <w:t>PSQ.5 Record 06 — Patient/family disclosure and regulatory notification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and family were actually informed about an adverse or sentinel event, and any required regulatory notification actually happened -- not left for them to find out on their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Following a serious adverse event, the treating clinician discloses it to the family the same day, documenting what was communicated.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or family who learns what happened only by piecing it together themselves has been failed twice -- once by the event, and once by this hospital's silence about it.</w:t>
            </w:r>
          </w:p>
        </w:tc>
      </w:tr>
    </w:tbl>
    <w:p/>
    <w:p>
      <w:r>
        <w:t>How to fill this in — column by column</w:t>
      </w:r>
    </w:p>
    <w:p>
      <w:r>
        <w:t>Event Date: When it occurred.</w:t>
      </w:r>
    </w:p>
    <w:p>
      <w:r>
        <w:t>Patient (Identifier 1) / UID (Identifier 2): The patient.</w:t>
      </w:r>
    </w:p>
    <w:p>
      <w:r>
        <w:t>Disclosed By / Date: Clinician and when.</w:t>
      </w:r>
    </w:p>
    <w:p>
      <w:r>
        <w:t>Content Communicated: Summary.</w:t>
      </w:r>
    </w:p>
    <w:p>
      <w:r>
        <w:t>Regulatory Notification (Y/N/NA):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 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Disclosed By / Date</w:t>
            </w:r>
          </w:p>
        </w:tc>
        <w:tc>
          <w:tcPr>
            <w:tcW w:type="dxa" w:w="1728"/>
          </w:tcPr>
          <w:p>
            <w:r>
              <w:t>Content Communicated</w:t>
            </w:r>
          </w:p>
        </w:tc>
        <w:tc>
          <w:tcPr>
            <w:tcW w:type="dxa" w:w="1728"/>
          </w:tcPr>
          <w:p>
            <w:r>
              <w:t>Regulatory Notification (Y/N/NA)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Ramesh Gupta / UID-01090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 — 20-Jun-2026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Explained the event, its cause so far understood, and next steps</w:t>
            </w:r>
          </w:p>
        </w:tc>
        <w:tc>
          <w:tcPr>
            <w:tcW w:type="dxa" w:w="1728"/>
            <w:shd w:val="clear" w:color="auto" w:fill="FFF2CC"/>
          </w:tcPr>
          <w:p>
            <w:r>
              <w:t>N — not legally required for this event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