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AAC.2.a — The organization has a mechanism for registering and admitting patients.</w:t>
      </w:r>
    </w:p>
    <w:p>
      <w:r>
        <w:t>AAC.2 Record 02 — Unidentified patient registration and identity-reconciliation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Temporary Identifier: The descriptive identifier assigned (e.g. 'Unknown Male, ~40 yrs').</w:t>
      </w:r>
    </w:p>
    <w:p>
      <w:pPr>
        <w:pStyle w:val="ListParagraph"/>
      </w:pPr>
      <w:r>
        <w:t>Unique ID Issued At Registration: The permanent unique number issued immediately, even before identity is known.</w:t>
      </w:r>
    </w:p>
    <w:p>
      <w:pPr>
        <w:pStyle w:val="ListParagraph"/>
      </w:pPr>
      <w:r>
        <w:t>Brought In By: Police, bystander, ambulance, etc.</w:t>
      </w:r>
    </w:p>
    <w:p>
      <w:pPr>
        <w:pStyle w:val="ListParagraph"/>
      </w:pPr>
      <w:r>
        <w:t>Identity Confirmed Date / Real Name: When and how the real identity was established.</w:t>
      </w:r>
    </w:p>
    <w:p>
      <w:pPr>
        <w:pStyle w:val="ListParagraph"/>
      </w:pPr>
      <w:r>
        <w:t>Record Reconciled By: Medical Records staff who cross-referenced the real identity to the existing unique number.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patient registered without a known identity, from the temporary descriptive identifier through to the real identity being confirmed and reconciled against the same permanent unique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Registration staff log the temporary identifier immediately; Medical Records closes the entry once identity is confirmed. The worked example shows an unconscious patient identified the next day via family.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Without this record, an unidentified patient either goes unregistered until identified — delaying care — or risks being issued a second, disconnected number once identified. This record proves neither happens.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Temporary Identifier</w:t>
            </w:r>
          </w:p>
        </w:tc>
        <w:tc>
          <w:tcPr>
            <w:tcW w:type="dxa" w:w="1728"/>
          </w:tcPr>
          <w:p>
            <w:r>
              <w:t>Unique ID Issued At Registration</w:t>
            </w:r>
          </w:p>
        </w:tc>
        <w:tc>
          <w:tcPr>
            <w:tcW w:type="dxa" w:w="1728"/>
          </w:tcPr>
          <w:p>
            <w:r>
              <w:t>Brought In By</w:t>
            </w:r>
          </w:p>
        </w:tc>
        <w:tc>
          <w:tcPr>
            <w:tcW w:type="dxa" w:w="1728"/>
          </w:tcPr>
          <w:p>
            <w:r>
              <w:t>Identity Confirmed Date / Real Name</w:t>
            </w:r>
          </w:p>
        </w:tc>
        <w:tc>
          <w:tcPr>
            <w:tcW w:type="dxa" w:w="1728"/>
          </w:tcPr>
          <w:p>
            <w:r>
              <w:t>Record Reconciled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Unknown Male, approx. 40 yrs, brought by police</w:t>
            </w:r>
          </w:p>
        </w:tc>
        <w:tc>
          <w:tcPr>
            <w:tcW w:type="dxa" w:w="1728"/>
            <w:shd w:val="clear" w:color="auto" w:fill="FFF2CC"/>
          </w:tcPr>
          <w:p>
            <w:r>
              <w:t>SHC-2026-00155</w:t>
            </w:r>
          </w:p>
        </w:tc>
        <w:tc>
          <w:tcPr>
            <w:tcW w:type="dxa" w:w="1728"/>
            <w:shd w:val="clear" w:color="auto" w:fill="FFF2CC"/>
          </w:tcPr>
          <w:p>
            <w:r>
              <w:t>Police (found unconscious, roadside)</w:t>
            </w:r>
          </w:p>
        </w:tc>
        <w:tc>
          <w:tcPr>
            <w:tcW w:type="dxa" w:w="1728"/>
            <w:shd w:val="clear" w:color="auto" w:fill="FFF2CC"/>
          </w:tcPr>
          <w:p>
            <w:r>
              <w:t>16-Feb-2026 — Mr. Ravi Shah, confirmed via family after announcement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Records Officer, 16-Feb-2026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