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AAC.2.d — The organization has a mechanism to address management of patients during non-availability of beds.</w:t>
      </w:r>
    </w:p>
    <w:p>
      <w:r>
        <w:t>AAC.2 Record 05 — Bed non-availability and escalation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bed shortage occurred.</w:t>
      </w:r>
    </w:p>
    <w:p>
      <w:pPr>
        <w:pStyle w:val="ListParagraph"/>
      </w:pPr>
      <w:r>
        <w:t>Patient: Patient name or ID.</w:t>
      </w:r>
    </w:p>
    <w:p>
      <w:pPr>
        <w:pStyle w:val="ListParagraph"/>
      </w:pPr>
      <w:r>
        <w:t>Action Taken: Held, transferred, or escalated — and to where/whom.</w:t>
      </w:r>
    </w:p>
    <w:p>
      <w:pPr>
        <w:pStyle w:val="ListParagraph"/>
      </w:pPr>
      <w:r>
        <w:t>First Alternative Failed? (Y/N): Whether escalation to the Medical Superintendent was needed.</w:t>
      </w:r>
    </w:p>
    <w:p>
      <w:pPr>
        <w:pStyle w:val="ListParagraph"/>
      </w:pPr>
      <w:r>
        <w:t>Patient/Family Response: Accepted the alternative, or declined and chose to wait (documented).</w:t>
      </w:r>
    </w:p>
    <w:p>
      <w:pPr>
        <w:pStyle w:val="ListParagraph"/>
      </w:pPr>
      <w:r>
        <w:t>Outcome: What eventually happened to the patient.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time a bed was not available on arrival, including cases where the first backup option also failed and escalation was needed.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Admission desk staff log this at the time it happens. The worked example shows a patient whose first alternate facility was also full, correctly escalated to the Medical Superintendent.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log, bed shortages — and what happens when the first fallback doesn't work — can only be managed informally, with no way to check the protocol was actually followed when it mattered most.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</w:t>
            </w:r>
          </w:p>
        </w:tc>
        <w:tc>
          <w:tcPr>
            <w:tcW w:type="dxa" w:w="1440"/>
          </w:tcPr>
          <w:p>
            <w:r>
              <w:t>Action Taken</w:t>
            </w:r>
          </w:p>
        </w:tc>
        <w:tc>
          <w:tcPr>
            <w:tcW w:type="dxa" w:w="1440"/>
          </w:tcPr>
          <w:p>
            <w:r>
              <w:t>First Alternative Failed? (Y/N)</w:t>
            </w:r>
          </w:p>
        </w:tc>
        <w:tc>
          <w:tcPr>
            <w:tcW w:type="dxa" w:w="1440"/>
          </w:tcPr>
          <w:p>
            <w:r>
              <w:t>Patient/Family Response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20-Feb-2026 / 23:40</w:t>
            </w:r>
          </w:p>
        </w:tc>
        <w:tc>
          <w:tcPr>
            <w:tcW w:type="dxa" w:w="1440"/>
            <w:shd w:val="clear" w:color="auto" w:fill="FFF2CC"/>
          </w:tcPr>
          <w:p>
            <w:r>
              <w:t>SHC-2026-00178</w:t>
            </w:r>
          </w:p>
        </w:tc>
        <w:tc>
          <w:tcPr>
            <w:tcW w:type="dxa" w:w="1440"/>
            <w:shd w:val="clear" w:color="auto" w:fill="FFF2CC"/>
          </w:tcPr>
          <w:p>
            <w:r>
              <w:t>Held in observation area; alternate facility contacted but full</w:t>
            </w:r>
          </w:p>
        </w:tc>
        <w:tc>
          <w:tcPr>
            <w:tcW w:type="dxa" w:w="1440"/>
            <w:shd w:val="clear" w:color="auto" w:fill="FFF2CC"/>
          </w:tcPr>
          <w:p>
            <w:r>
              <w:t>Y — escalated to Medical Superintendent, second facility arranged</w:t>
            </w:r>
          </w:p>
        </w:tc>
        <w:tc>
          <w:tcPr>
            <w:tcW w:type="dxa" w:w="1440"/>
            <w:shd w:val="clear" w:color="auto" w:fill="FFF2CC"/>
          </w:tcPr>
          <w:p>
            <w:r>
              <w:t>Family accepted transfer</w:t>
            </w:r>
          </w:p>
        </w:tc>
        <w:tc>
          <w:tcPr>
            <w:tcW w:type="dxa" w:w="1440"/>
            <w:shd w:val="clear" w:color="auto" w:fill="FFF2CC"/>
          </w:tcPr>
          <w:p>
            <w:r>
              <w:t>Transferred and admitted, 21-Feb-2026 02:05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