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AAC.2.e — Access to the healthcare services in the organization is prioritized according to the clinical needs of the patient.</w:t>
      </w:r>
    </w:p>
    <w:p>
      <w:r>
        <w:t>AAC.2 Record 06 — Clinical prioritization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Date/Time: When the prioritization decision was made.</w:t>
      </w:r>
    </w:p>
    <w:p>
      <w:pPr>
        <w:pStyle w:val="ListParagraph"/>
      </w:pPr>
      <w:r>
        <w:t>Patient: Patient name or ID.</w:t>
      </w:r>
    </w:p>
    <w:p>
      <w:pPr>
        <w:pStyle w:val="ListParagraph"/>
      </w:pPr>
      <w:r>
        <w:t>Urgency Category: Emergency, urgent, or routine (or the ESI level, if adopted).</w:t>
      </w:r>
    </w:p>
    <w:p>
      <w:pPr>
        <w:pStyle w:val="ListParagraph"/>
      </w:pPr>
      <w:r>
        <w:t>Clinical Basis: The reason for this category.</w:t>
      </w:r>
    </w:p>
    <w:p>
      <w:pPr>
        <w:pStyle w:val="ListParagraph"/>
      </w:pPr>
      <w:r>
        <w:t>Decided By: The clinician or triage staff member.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AAC.2.</w:t>
      </w:r>
    </w:p>
    <w:p>
      <w:pPr>
        <w:pStyle w:val="ListParagraph"/>
      </w:pPr>
      <w:r>
        <w:t xml:space="preserve">Agency for Healthcare Research and Quality. (2012). </w:t>
      </w:r>
      <w:hyperlink r:id="rId10">
        <w:r>
          <w:rPr>
            <w:color w:val="0563C1"/>
            <w:u w:val="single"/>
          </w:rPr>
          <w:t>Emergency Severity Index (ESI): A Triage Tool for Emergency Department Care, Version 4, Implementation Handbook (AHRQ Pub. No. 12-0014)</w:t>
        </w:r>
      </w:hyperlink>
      <w:r>
        <w:t>. A five-level triage scale offered as an adoptable external benchmark for clinical-urgency categorisation; NABH does not itself mandate a specific triage scale.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shows, case by case, that access was actually prioritized by clinical urgency against the hospital's named criterion, not by who arrived first.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Triage staff or the treating clinician log this for every emergency or urgent case. The worked example shows a chest-pain patient correctly prioritized.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prioritization policy with no record of how individual cases were actually categorized cannot be checked against what really happened at the point of care.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Date/Time</w:t>
            </w:r>
          </w:p>
        </w:tc>
        <w:tc>
          <w:tcPr>
            <w:tcW w:type="dxa" w:w="1728"/>
          </w:tcPr>
          <w:p>
            <w:r>
              <w:t>Patient</w:t>
            </w:r>
          </w:p>
        </w:tc>
        <w:tc>
          <w:tcPr>
            <w:tcW w:type="dxa" w:w="1728"/>
          </w:tcPr>
          <w:p>
            <w:r>
              <w:t>Urgency Category</w:t>
            </w:r>
          </w:p>
        </w:tc>
        <w:tc>
          <w:tcPr>
            <w:tcW w:type="dxa" w:w="1728"/>
          </w:tcPr>
          <w:p>
            <w:r>
              <w:t>Clinical Basis</w:t>
            </w:r>
          </w:p>
        </w:tc>
        <w:tc>
          <w:tcPr>
            <w:tcW w:type="dxa" w:w="1728"/>
          </w:tcPr>
          <w:p>
            <w:r>
              <w:t>Decided By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03-Mar-2026 / 14:20</w:t>
            </w:r>
          </w:p>
        </w:tc>
        <w:tc>
          <w:tcPr>
            <w:tcW w:type="dxa" w:w="1728"/>
            <w:shd w:val="clear" w:color="auto" w:fill="FFF2CC"/>
          </w:tcPr>
          <w:p>
            <w:r>
              <w:t>SHC-2026-00201</w:t>
            </w:r>
          </w:p>
        </w:tc>
        <w:tc>
          <w:tcPr>
            <w:tcW w:type="dxa" w:w="1728"/>
            <w:shd w:val="clear" w:color="auto" w:fill="FFF2CC"/>
          </w:tcPr>
          <w:p>
            <w:r>
              <w:t>Emergency (ESI Level 2)</w:t>
            </w:r>
          </w:p>
        </w:tc>
        <w:tc>
          <w:tcPr>
            <w:tcW w:type="dxa" w:w="1728"/>
            <w:shd w:val="clear" w:color="auto" w:fill="FFF2CC"/>
          </w:tcPr>
          <w:p>
            <w:r>
              <w:t>Chest pain with ECG changes</w:t>
            </w:r>
          </w:p>
        </w:tc>
        <w:tc>
          <w:tcPr>
            <w:tcW w:type="dxa" w:w="1728"/>
            <w:shd w:val="clear" w:color="auto" w:fill="FFF2CC"/>
          </w:tcPr>
          <w:p>
            <w:r>
              <w:t>Dr. A. Khan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www.govinfo.gov/content/pkg/GOVPUB-HE20_6500-PURL-gpo23161/pdf/GOVPUB-HE20_6500-PURL-gpo2316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