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AAC.4.c — Requisition for tests, collection, identification, handling, safe transportation, processing and disposal of specimens is performed according to written guidance.</w:t>
      </w:r>
    </w:p>
    <w:p>
      <w:r>
        <w:t>AAC.4 Record 02 — Specimen rejection and recollection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Specimen ID: The rejected specimen's identifier, if assigned.</w:t>
      </w:r>
    </w:p>
    <w:p>
      <w:pPr>
        <w:pStyle w:val="ListParagraph"/>
      </w:pPr>
      <w:r>
        <w:t>Test Requested: The test the specimen was for.</w:t>
      </w:r>
    </w:p>
    <w:p>
      <w:pPr>
        <w:pStyle w:val="ListParagraph"/>
      </w:pPr>
      <w:r>
        <w:t>Rejection Reason: Mislabelled, haemolysed, insufficient quantity, etc.</w:t>
      </w:r>
    </w:p>
    <w:p>
      <w:pPr>
        <w:pStyle w:val="ListParagraph"/>
      </w:pPr>
      <w:r>
        <w:t>Recollection Requested (Date/Time): When the collecting area was notified.</w:t>
      </w:r>
    </w:p>
    <w:p>
      <w:pPr>
        <w:pStyle w:val="ListParagraph"/>
      </w:pPr>
      <w:r>
        <w:t>Recollected (Date/Time): When a suitable specimen was actually recollected.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specimen rejected before testing, and confirms a suitable replacement was actually collected rather than the test being quietly skipped or run on a bad sample.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Laboratory staff log this at the point of rejection. The worked example shows a haemolysed electrolyte sample rejected and recollected within half an hour.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specimen-rejection criterion that is never actually applied and logged is indistinguishable from testing every sample regardless of quality — this record is what shows rejection genuinely happens when it should.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Specimen ID</w:t>
            </w:r>
          </w:p>
        </w:tc>
        <w:tc>
          <w:tcPr>
            <w:tcW w:type="dxa" w:w="1728"/>
          </w:tcPr>
          <w:p>
            <w:r>
              <w:t>Test Requested</w:t>
            </w:r>
          </w:p>
        </w:tc>
        <w:tc>
          <w:tcPr>
            <w:tcW w:type="dxa" w:w="1728"/>
          </w:tcPr>
          <w:p>
            <w:r>
              <w:t>Rejection Reason</w:t>
            </w:r>
          </w:p>
        </w:tc>
        <w:tc>
          <w:tcPr>
            <w:tcW w:type="dxa" w:w="1728"/>
          </w:tcPr>
          <w:p>
            <w:r>
              <w:t>Recollection Requested (Date/Time)</w:t>
            </w:r>
          </w:p>
        </w:tc>
        <w:tc>
          <w:tcPr>
            <w:tcW w:type="dxa" w:w="1728"/>
          </w:tcPr>
          <w:p>
            <w:r>
              <w:t>Recollected (Date/Time)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N/A — rejected at receipt</w:t>
            </w:r>
          </w:p>
        </w:tc>
        <w:tc>
          <w:tcPr>
            <w:tcW w:type="dxa" w:w="1728"/>
            <w:shd w:val="clear" w:color="auto" w:fill="FFF2CC"/>
          </w:tcPr>
          <w:p>
            <w:r>
              <w:t>Electrolytes</w:t>
            </w:r>
          </w:p>
        </w:tc>
        <w:tc>
          <w:tcPr>
            <w:tcW w:type="dxa" w:w="1728"/>
            <w:shd w:val="clear" w:color="auto" w:fill="FFF2CC"/>
          </w:tcPr>
          <w:p>
            <w:r>
              <w:t>Haemolysed sample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09:00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09:30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