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AAC.4.f — Laboratory tests not available in the organization are outsourced to organization(s) based on their quality assurance system.</w:t>
      </w:r>
    </w:p>
    <w:p>
      <w:r>
        <w:t>AAC.4 Record 05 — Outsourced laboratory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Outsourced Laboratory: Name of the external laboratory.</w:t>
      </w:r>
    </w:p>
    <w:p>
      <w:pPr>
        <w:pStyle w:val="ListParagraph"/>
      </w:pPr>
      <w:r>
        <w:t>Tests Outsourced: Which tests are sent there.</w:t>
      </w:r>
    </w:p>
    <w:p>
      <w:pPr>
        <w:pStyle w:val="ListParagraph"/>
      </w:pPr>
      <w:r>
        <w:t>QA Credential Verified: Accreditation or equivalent QA evidence on file.</w:t>
      </w:r>
    </w:p>
    <w:p>
      <w:pPr>
        <w:pStyle w:val="ListParagraph"/>
      </w:pPr>
      <w:r>
        <w:t>Transport Conditions Agreed: Temperature control and max. transit time, as applicable.</w:t>
      </w:r>
    </w:p>
    <w:p>
      <w:pPr>
        <w:pStyle w:val="ListParagraph"/>
      </w:pPr>
      <w:r>
        <w:t>Verification Date: When this was last checked.</w:t>
      </w:r>
    </w:p>
    <w:p>
      <w:pPr>
        <w:pStyle w:val="ListParagraph"/>
      </w:pPr>
      <w:r>
        <w:t>Next Review Due: When the next annual review is due.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AAC.4.</w:t>
      </w:r>
    </w:p>
    <w:p>
      <w:pPr>
        <w:pStyle w:val="ListParagraph"/>
      </w:pPr>
      <w:r>
        <w:t xml:space="preserve">National Accreditation Board for Testing and Calibration Laboratories. (2025). </w:t>
      </w:r>
      <w:hyperlink r:id="rId10">
        <w:r>
          <w:rPr>
            <w:color w:val="0563C1"/>
            <w:u w:val="single"/>
          </w:rPr>
          <w:t>NABL 112B — Guidance Document: Medical Laboratories (Issue 01, Amdt. 01, 04-Nov-2025)</w:t>
        </w:r>
      </w:hyperlink>
      <w:r>
        <w:t>. Referenced as an external benchmark for laboratory quality-assurance programme design; SHCO accreditation does not itself require NABL accreditation.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master list of every laboratory the organisation outsources to, with proof its quality assurance system and transport conditions were checked.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Laboratory In-Charge maintains this and renews it annually. The worked example shows an NABL-accredited reference lab with cold-chain transport terms on file.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Outsourcing a test to a laboratory with no verified quality system, or no agreed way for the specimen to arrive intact, passes the organisation's own quality responsibility to an unchecked third party — this record is the check.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Outsourced Laboratory</w:t>
            </w:r>
          </w:p>
        </w:tc>
        <w:tc>
          <w:tcPr>
            <w:tcW w:type="dxa" w:w="1440"/>
          </w:tcPr>
          <w:p>
            <w:r>
              <w:t>Tests Outsourced</w:t>
            </w:r>
          </w:p>
        </w:tc>
        <w:tc>
          <w:tcPr>
            <w:tcW w:type="dxa" w:w="1440"/>
          </w:tcPr>
          <w:p>
            <w:r>
              <w:t>QA Credential Verified</w:t>
            </w:r>
          </w:p>
        </w:tc>
        <w:tc>
          <w:tcPr>
            <w:tcW w:type="dxa" w:w="1440"/>
          </w:tcPr>
          <w:p>
            <w:r>
              <w:t>Transport Conditions Agreed</w:t>
            </w:r>
          </w:p>
        </w:tc>
        <w:tc>
          <w:tcPr>
            <w:tcW w:type="dxa" w:w="1440"/>
          </w:tcPr>
          <w:p>
            <w:r>
              <w:t>Verification Date</w:t>
            </w:r>
          </w:p>
        </w:tc>
        <w:tc>
          <w:tcPr>
            <w:tcW w:type="dxa" w:w="1440"/>
          </w:tcPr>
          <w:p>
            <w:r>
              <w:t>Next Review Due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XYZ Reference Laboratory</w:t>
            </w:r>
          </w:p>
        </w:tc>
        <w:tc>
          <w:tcPr>
            <w:tcW w:type="dxa" w:w="1440"/>
            <w:shd w:val="clear" w:color="auto" w:fill="FFF2CC"/>
          </w:tcPr>
          <w:p>
            <w:r>
              <w:t>Hormone panel, tumour markers</w:t>
            </w:r>
          </w:p>
        </w:tc>
        <w:tc>
          <w:tcPr>
            <w:tcW w:type="dxa" w:w="1440"/>
            <w:shd w:val="clear" w:color="auto" w:fill="FFF2CC"/>
          </w:tcPr>
          <w:p>
            <w:r>
              <w:t>NABL-accredited (certificate on file)</w:t>
            </w:r>
          </w:p>
        </w:tc>
        <w:tc>
          <w:tcPr>
            <w:tcW w:type="dxa" w:w="1440"/>
            <w:shd w:val="clear" w:color="auto" w:fill="FFF2CC"/>
          </w:tcPr>
          <w:p>
            <w:r>
              <w:t>Cold-chain courier, max. 4 hours transit</w:t>
            </w:r>
          </w:p>
        </w:tc>
        <w:tc>
          <w:tcPr>
            <w:tcW w:type="dxa" w:w="1440"/>
            <w:shd w:val="clear" w:color="auto" w:fill="FFF2CC"/>
          </w:tcPr>
          <w:p>
            <w:r>
              <w:t>10-Jan-2026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10-Jan-2027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nabl-indi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