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AAC.5.i — The programme includes periodic calibration and maintenance of all equipment.</w:t>
      </w:r>
    </w:p>
    <w:p>
      <w:r>
        <w:t>AAC.5 Record 06 — Imaging equipment calibration, maintenance, radiation-safety and downtime-contingency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Equipment: The imaging equipment.</w:t>
      </w:r>
    </w:p>
    <w:p>
      <w:pPr>
        <w:pStyle w:val="ListParagraph"/>
      </w:pPr>
      <w:r>
        <w:t>Calibration/Maintenance Due: The scheduled date.</w:t>
      </w:r>
    </w:p>
    <w:p>
      <w:pPr>
        <w:pStyle w:val="ListParagraph"/>
      </w:pPr>
      <w:r>
        <w:t>Date Performed: When it was actually done.</w:t>
      </w:r>
    </w:p>
    <w:p>
      <w:pPr>
        <w:pStyle w:val="ListParagraph"/>
      </w:pPr>
      <w:r>
        <w:t>Radiation-Safety Check (Dosimetry/Shielding, if applicable): Status of the statutory radiation-safety check.</w:t>
      </w:r>
    </w:p>
    <w:p>
      <w:pPr>
        <w:pStyle w:val="ListParagraph"/>
      </w:pPr>
      <w:r>
        <w:t>Result (Pass/Fail): Whether the equipment passed.</w:t>
      </w:r>
    </w:p>
    <w:p>
      <w:pPr>
        <w:pStyle w:val="ListParagraph"/>
      </w:pPr>
      <w:r>
        <w:t>If Fail — Contingency Used: Outsourced referral or alternate modality used while out of service.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AAC.5.</w:t>
      </w:r>
    </w:p>
    <w:p>
      <w:pPr>
        <w:pStyle w:val="ListParagraph"/>
      </w:pPr>
      <w:r>
        <w:t xml:space="preserve">Government of India, Department of Atomic Energy. (2004). </w:t>
      </w:r>
      <w:hyperlink r:id="rId10">
        <w:r>
          <w:rPr>
            <w:color w:val="0563C1"/>
            <w:u w:val="single"/>
          </w:rPr>
          <w:t>Atomic Energy (Radiation Protection) Rules, 2004 (G.S.R. 303, 25-Aug-2004)</w:t>
        </w:r>
      </w:hyperlink>
      <w:r>
        <w:t>. Statutory radiation-safety requirement administered by the Atomic Energy Regulatory Board (AERB); applies to diagnostic X-ray and imaging equipment.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schedule and history of every imaging equipment item's calibration, maintenance, statutory radiation-safety compliance, and what happened to patient care while any unit was out of service.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Imaging In-Charge tracks this per equipment item. The worked example shows an X-ray unit calibrated on schedule with current radiation-safety documentation.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Uncalibrated imaging equipment can produce a misleading image, unchecked radiation output is a statutory safety failure under the Atomic Energy (Radiation Protection) Rules, 2004, and equipment taken offline with no contingency turns a technical fault into an access gap — this record covers all three.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Equipment</w:t>
            </w:r>
          </w:p>
        </w:tc>
        <w:tc>
          <w:tcPr>
            <w:tcW w:type="dxa" w:w="1440"/>
          </w:tcPr>
          <w:p>
            <w:r>
              <w:t>Calibration/Maintenance Due</w:t>
            </w:r>
          </w:p>
        </w:tc>
        <w:tc>
          <w:tcPr>
            <w:tcW w:type="dxa" w:w="1440"/>
          </w:tcPr>
          <w:p>
            <w:r>
              <w:t>Date Performed</w:t>
            </w:r>
          </w:p>
        </w:tc>
        <w:tc>
          <w:tcPr>
            <w:tcW w:type="dxa" w:w="1440"/>
          </w:tcPr>
          <w:p>
            <w:r>
              <w:t>Radiation-Safety Check (Dosimetry/Shielding, if applicable)</w:t>
            </w:r>
          </w:p>
        </w:tc>
        <w:tc>
          <w:tcPr>
            <w:tcW w:type="dxa" w:w="1440"/>
          </w:tcPr>
          <w:p>
            <w:r>
              <w:t>Result (Pass/Fail)</w:t>
            </w:r>
          </w:p>
        </w:tc>
        <w:tc>
          <w:tcPr>
            <w:tcW w:type="dxa" w:w="1440"/>
          </w:tcPr>
          <w:p>
            <w:r>
              <w:t>If Fail — Contingency Used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X-ray Unit 1</w:t>
            </w:r>
          </w:p>
        </w:tc>
        <w:tc>
          <w:tcPr>
            <w:tcW w:type="dxa" w:w="1440"/>
            <w:shd w:val="clear" w:color="auto" w:fill="FFF2CC"/>
          </w:tcPr>
          <w:p>
            <w:r>
              <w:t>01-Apr-2026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25-Mar-2026</w:t>
            </w:r>
          </w:p>
        </w:tc>
        <w:tc>
          <w:tcPr>
            <w:tcW w:type="dxa" w:w="1440"/>
            <w:shd w:val="clear" w:color="auto" w:fill="FFF2CC"/>
          </w:tcPr>
          <w:p>
            <w:r>
              <w:t>Personnel dosimetry current; shielding survey on file</w:t>
            </w:r>
          </w:p>
        </w:tc>
        <w:tc>
          <w:tcPr>
            <w:tcW w:type="dxa" w:w="1440"/>
            <w:shd w:val="clear" w:color="auto" w:fill="FFF2CC"/>
          </w:tcPr>
          <w:p>
            <w:r>
              <w:t>Pass</w:t>
            </w:r>
          </w:p>
        </w:tc>
        <w:tc>
          <w:tcPr>
            <w:tcW w:type="dxa" w:w="1440"/>
            <w:shd w:val="clear" w:color="auto" w:fill="FFF2CC"/>
          </w:tcPr>
          <w:p>
            <w:r>
              <w:t>N/A — passed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Relationship Id="rId10" Type="http://schemas.openxmlformats.org/officeDocument/2006/relationships/hyperlink" Target="https://mgw3.aerb.gov.in/images/PDF/RPR200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