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AAC.6.a — The laboratory-safety programme is implemented.</w:t>
      </w:r>
    </w:p>
    <w:p>
      <w:r>
        <w:t>AAC.6 Record 02 — Laboratory staff occupational immunisation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Name: The laboratory staff member.</w:t>
      </w:r>
    </w:p>
    <w:p>
      <w:pPr>
        <w:pStyle w:val="ListParagraph"/>
      </w:pPr>
      <w:r>
        <w:t>Vaccination: e.g. Hepatitis B.</w:t>
      </w:r>
    </w:p>
    <w:p>
      <w:pPr>
        <w:pStyle w:val="ListParagraph"/>
      </w:pPr>
      <w:r>
        <w:t>Status: Fully immunised, in progress, or non-immune.</w:t>
      </w:r>
    </w:p>
    <w:p>
      <w:pPr>
        <w:pStyle w:val="ListParagraph"/>
      </w:pPr>
      <w:r>
        <w:t>Date of Last Dose / Titre Check: Most recent relevant date.</w:t>
      </w:r>
    </w:p>
    <w:p>
      <w:pPr>
        <w:pStyle w:val="ListParagraph"/>
      </w:pPr>
      <w:r>
        <w:t>Action If Non-Immune: Vaccination offered and scheduled, if applicable.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laboratory staff member's occupational immunisation status, so the organisation can show it is actually protecting staff who handle specimens, not just supplying PPE.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maintains this for all lab staff and updates it on hire and at renewal. The worked example shows a fully immunised technician.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safety programme that never checks whether its own staff are protected against the occupational risks the job carries is incomplete — this record closes that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Name</w:t>
            </w:r>
          </w:p>
        </w:tc>
        <w:tc>
          <w:tcPr>
            <w:tcW w:type="dxa" w:w="1728"/>
          </w:tcPr>
          <w:p>
            <w:r>
              <w:t>Vaccination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Date of Last Dose / Titre Check</w:t>
            </w:r>
          </w:p>
        </w:tc>
        <w:tc>
          <w:tcPr>
            <w:tcW w:type="dxa" w:w="1728"/>
          </w:tcPr>
          <w:p>
            <w:r>
              <w:t>Action If Non-Immune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Ramesh Kumar, Lab Technician</w:t>
            </w:r>
          </w:p>
        </w:tc>
        <w:tc>
          <w:tcPr>
            <w:tcW w:type="dxa" w:w="1728"/>
            <w:shd w:val="clear" w:color="auto" w:fill="FFF2CC"/>
          </w:tcPr>
          <w:p>
            <w:r>
              <w:t>Hepatitis B</w:t>
            </w:r>
          </w:p>
        </w:tc>
        <w:tc>
          <w:tcPr>
            <w:tcW w:type="dxa" w:w="1728"/>
            <w:shd w:val="clear" w:color="auto" w:fill="FFF2CC"/>
          </w:tcPr>
          <w:p>
            <w:r>
              <w:t>Fully immunised</w:t>
            </w:r>
          </w:p>
        </w:tc>
        <w:tc>
          <w:tcPr>
            <w:tcW w:type="dxa" w:w="1728"/>
            <w:shd w:val="clear" w:color="auto" w:fill="FFF2CC"/>
          </w:tcPr>
          <w:p>
            <w:r>
              <w:t>3rd dose: 12-Jun-2024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