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the Established Discharge Process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HCO/AAC/POL/12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pStyle w:val="Heading1"/>
      </w:pPr>
      <w:r>
        <w:t>Statement of intent</w:t>
      </w:r>
    </w:p>
    <w:p>
      <w:pPr/>
      <w:r>
        <w:t>«Hospital Name» has an established discharge process: planned in consultation with the patient and/or family, coordinated among departments and agencies including medico-legal and absconded cases, governed by written LAMA guidance, issuing a discharge summary to every patient, adhering to planned discharge, expanding access through domiciliary visits where applicable, and monitoring discharge time for continual improvement.</w:t>
      </w:r>
    </w:p>
    <w:p>
      <w:pPr>
        <w:pStyle w:val="Heading1"/>
      </w:pPr>
      <w:r>
        <w:t>1. Purpose</w:t>
      </w:r>
    </w:p>
    <w:p>
      <w:pPr/>
      <w:r>
        <w:t>This policy explains how «Hospital Name» manages the discharge process: planning discharge with the patient and family, coordinating discharge across departments and agencies, governing discharge against medical advice, issuing a discharge summary to every leaving patient, adhering to planned discharge, providing domiciliary visits where applicable, and monitoring and improving discharge time.</w:t>
      </w:r>
    </w:p>
    <w:p>
      <w:pPr/>
      <w:r>
        <w:t>The content of the discharge summary is covered in the hospital's other policies.</w:t>
      </w:r>
    </w:p>
    <w:p>
      <w:pPr>
        <w:pStyle w:val="Heading1"/>
      </w:pPr>
      <w:r>
        <w:t>2. Scope</w:t>
      </w:r>
    </w:p>
    <w:p>
      <w:pPr/>
      <w:r>
        <w:t>This policy applies to treating doctors, nursing staff, accounts and other departments involved in discharge, and all patients and families at «Hospital Name».</w:t>
      </w:r>
    </w:p>
    <w:p>
      <w:pPr>
        <w:pStyle w:val="Heading1"/>
      </w:pPr>
      <w:r>
        <w:t>3. Policy standards</w:t>
      </w:r>
    </w:p>
    <w:p>
      <w:pPr/>
      <w:r>
        <w:t>The discharge process is planned in consultation with the patient and/or family and coordinated among all departments and agencies involved, including medico-legal and absconded cases. Written guidance governs the discharge of patients leaving against medical advice, and a discharge summary is given to all patients leaving the organisation.</w:t>
      </w:r>
    </w:p>
    <w:p>
      <w:pPr/>
      <w:r>
        <w:t>The organisation adheres to planned discharge, expands access to health practices through domiciliary visits wherever applicable, and monitors discharge time, setting appropriate benchmarks for continual improvement.</w:t>
      </w:r>
    </w:p>
    <w:p>
      <w:pPr>
        <w:pStyle w:val="Heading1"/>
      </w:pPr>
      <w:r>
        <w:t>4. Non-negotiable rules</w:t>
      </w:r>
    </w:p>
    <w:p>
      <w:pPr>
        <w:pStyle w:val="ListBullet"/>
      </w:pPr>
      <w:r>
        <w:t>Do not discharge a patient without planning the process in consultation with the patient and/or family.</w:t>
      </w:r>
    </w:p>
    <w:p>
      <w:pPr>
        <w:pStyle w:val="ListBullet"/>
      </w:pPr>
      <w:r>
        <w:t>Do not discharge a medico-legal case without informing the police, or handle an absconded case outside the organisation's coordination discipline.</w:t>
      </w:r>
    </w:p>
    <w:p>
      <w:pPr>
        <w:pStyle w:val="ListBullet"/>
      </w:pPr>
      <w:r>
        <w:t>Do not allow a patient to leave against medical advice without following the written LAMA guidance and recording the declaration in the required format.</w:t>
      </w:r>
    </w:p>
    <w:p>
      <w:pPr>
        <w:pStyle w:val="ListBullet"/>
      </w:pPr>
      <w:r>
        <w:t>Do not let any patient leave the organisation — including one leaving against medical advice or in case of death — without issuing a discharge or death summary.</w:t>
      </w:r>
    </w:p>
    <w:p>
      <w:pPr>
        <w:pStyle w:val="ListBullet"/>
      </w:pPr>
      <w:r>
        <w:t>Do not fabricate a domiciliary visit service that falls outside the organisation's defined scope.</w:t>
      </w:r>
    </w:p>
    <w:p>
      <w:pPr>
        <w:pStyle w:val="Heading1"/>
      </w:pPr>
      <w:r>
        <w:t>5. What we do</w:t>
      </w:r>
    </w:p>
    <w:p>
      <w:pPr>
        <w:pStyle w:val="Heading2"/>
      </w:pPr>
      <w:r>
        <w:t>5.1 Plan discharge in consultation with the patient and family</w:t>
      </w:r>
    </w:p>
    <w:p>
      <w:pPr/>
      <w:r>
        <w:t>The discharge process is planned in consultation with the patient and/or family. The treating doctor determines readiness for discharge during regular reassessments and discusses the plan with the patient and family, covering expected timing, continued care needs, and who will receive the discharge summary.</w:t>
      </w:r>
    </w:p>
    <w:p>
      <w:pPr>
        <w:pStyle w:val="Heading2"/>
      </w:pPr>
      <w:r>
        <w:t>5.2 Coordinate discharge among departments and agencies</w:t>
      </w:r>
    </w:p>
    <w:p>
      <w:pPr/>
      <w:r>
        <w:t>The discharge process is coordinated among all departments and agencies involved, including accounts, so that discharge papers are completed within time. For medico-legal cases, the police are informed about the discharge. Absconded-patient workflows follow the same coordination discipline when the patient is found or the case is otherwise closed.</w:t>
      </w:r>
    </w:p>
    <w:p>
      <w:pPr>
        <w:pStyle w:val="Heading2"/>
      </w:pPr>
      <w:r>
        <w:t>5.3 Govern discharge against medical advice</w:t>
      </w:r>
    </w:p>
    <w:p>
      <w:pPr/>
      <w:r>
        <w:t>Written guidance governs the discharge of patients leaving against medical advice (LAMA). The treating doctor explains the consequences of leaving to the patient or attendant. The written guidance addresses reasons for LAMA so the organisation can take corrective and/or preventive action where patterns appear. The patient/attendant declaration is recorded in a proper format. LAMA does not cancel the duty to give a discharge summary and reports.</w:t>
      </w:r>
    </w:p>
    <w:p>
      <w:pPr>
        <w:pStyle w:val="Heading2"/>
      </w:pPr>
      <w:r>
        <w:t>5.4 Issue a discharge summary to every leaving patient</w:t>
      </w:r>
    </w:p>
    <w:p>
      <w:pPr/>
      <w:r>
        <w:t>A discharge summary is given to all patients leaving the organisation, including patients leaving against medical advice. In case of death, a death summary is given to the next of kin or relatives. The organisation hands over the discharge summary and reports to the patient or attendant in all cases and retains a copy in the medical record.</w:t>
      </w:r>
    </w:p>
    <w:p>
      <w:pPr>
        <w:pStyle w:val="Heading2"/>
      </w:pPr>
      <w:r>
        <w:t>5.5 Adhere to planned discharge</w:t>
      </w:r>
    </w:p>
    <w:p>
      <w:pPr/>
      <w:r>
        <w:t>Discharge is planned at least 24 hours in advance. Planning includes preparation of the draft discharge summary, refund of medications where applicable, patient education on continued care, and identification of special needs — for example special equipment, devices, or transportation. Unplanned discharges are minimised.</w:t>
      </w:r>
    </w:p>
    <w:p>
      <w:pPr>
        <w:pStyle w:val="Heading2"/>
      </w:pPr>
      <w:r>
        <w:t>5.6 Provide domiciliary visits where applicable</w:t>
      </w:r>
    </w:p>
    <w:p>
      <w:pPr/>
      <w:r>
        <w:t>Where the organisation's scope includes domiciliary visits, trained healthcare workers visit patients at their residences to deliver care and support — for example for chronic conditions, fall prevention, memory care, nutrition, exercise, or palliative catheter care. Visits are scheduled at discharge planning when applicable and recorded. A hospital whose scope does not include domiciliary visits records this as not applicable and does not fabricate the service.</w:t>
      </w:r>
    </w:p>
    <w:p>
      <w:pPr>
        <w:pStyle w:val="Heading2"/>
      </w:pPr>
      <w:r>
        <w:t>5.7 Monitor discharge time and improve it continually</w:t>
      </w:r>
    </w:p>
    <w:p>
      <w:pPr/>
      <w:r>
        <w:t>The organisation monitors discharge time, setting appropriate benchmarks and making continual improvement. Discharge time is defined from when the treating doctor declares the patient fit for discharge to when the patient vacates the bed. Benchmarks may differ by payer mix. Delays are monitored, reasons identified, and improvement activities performed.</w:t>
      </w:r>
    </w:p>
    <w:p>
      <w:pPr>
        <w:pStyle w:val="Heading1"/>
      </w:pPr>
      <w:r>
        <w:t>6. Stop-work authority</w:t>
      </w:r>
    </w:p>
    <w:p>
      <w:pPr/>
      <w:r>
        <w:t>Not applicable. This standard has no stop-work authority. Gaps in discharge planning, coordination, LAMA guidance, or discharge-summary issuance are addressed through the hospital's quality monitoring and CAPA process (Section 8), not through an immediate stop-work trigger. The patient's right to refuse treatment and leave against medical advice is a patient right, not a stop-work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the discharge process across all departments and agencies.</w:t>
            </w:r>
          </w:p>
        </w:tc>
      </w:tr>
      <w:tr>
        <w:tc>
          <w:tcPr>
            <w:tcW w:type="dxa" w:w="4320"/>
          </w:tcPr>
          <w:p>
            <w:r>
              <w:t>Treating Doctor</w:t>
            </w:r>
          </w:p>
        </w:tc>
        <w:tc>
          <w:tcPr>
            <w:tcW w:type="dxa" w:w="4320"/>
          </w:tcPr>
          <w:p>
            <w:r>
              <w:t>Determines discharge readiness; explains LAMA consequences; ensures discharge summary is prepared and handed over.</w:t>
            </w:r>
          </w:p>
        </w:tc>
      </w:tr>
      <w:tr>
        <w:tc>
          <w:tcPr>
            <w:tcW w:type="dxa" w:w="4320"/>
          </w:tcPr>
          <w:p>
            <w:r>
              <w:t>Nursing Superintendent</w:t>
            </w:r>
          </w:p>
        </w:tc>
        <w:tc>
          <w:tcPr>
            <w:tcW w:type="dxa" w:w="4320"/>
          </w:tcPr>
          <w:p>
            <w:r>
              <w:t>Coordinates discharge planning and domiciliary visit scheduling with nursing staff.</w:t>
            </w:r>
          </w:p>
        </w:tc>
      </w:tr>
      <w:tr>
        <w:tc>
          <w:tcPr>
            <w:tcW w:type="dxa" w:w="4320"/>
          </w:tcPr>
          <w:p>
            <w:r>
              <w:t>Accounts/Administration</w:t>
            </w:r>
          </w:p>
        </w:tc>
        <w:tc>
          <w:tcPr>
            <w:tcW w:type="dxa" w:w="4320"/>
          </w:tcPr>
          <w:p>
            <w:r>
              <w:t>Completes discharge papers within the defined coordination timeframe.</w:t>
            </w:r>
          </w:p>
        </w:tc>
      </w:tr>
      <w:tr>
        <w:tc>
          <w:tcPr>
            <w:tcW w:type="dxa" w:w="4320"/>
          </w:tcPr>
          <w:p>
            <w:r>
              <w:t>Quality Coordinator</w:t>
            </w:r>
          </w:p>
        </w:tc>
        <w:tc>
          <w:tcPr>
            <w:tcW w:type="dxa" w:w="4320"/>
          </w:tcPr>
          <w:p>
            <w:r>
              <w:t>Audits this policy; monitors discharge time and holds LAMA and CAPA records.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Discharge planning</w:t>
            </w:r>
          </w:p>
        </w:tc>
        <w:tc>
          <w:tcPr>
            <w:tcW w:type="dxa" w:w="4320"/>
          </w:tcPr>
          <w:p>
            <w:r>
              <w:t>Reassessment notes stating readiness; discussion records with patient/family.</w:t>
            </w:r>
          </w:p>
        </w:tc>
      </w:tr>
      <w:tr>
        <w:tc>
          <w:tcPr>
            <w:tcW w:type="dxa" w:w="4320"/>
          </w:tcPr>
          <w:p>
            <w:r>
              <w:t>Departmental coordination</w:t>
            </w:r>
          </w:p>
        </w:tc>
        <w:tc>
          <w:tcPr>
            <w:tcW w:type="dxa" w:w="4320"/>
          </w:tcPr>
          <w:p>
            <w:r>
              <w:t>Documented discharge procedure; MLC police intimation records; absconded-case coordination records.</w:t>
            </w:r>
          </w:p>
        </w:tc>
      </w:tr>
      <w:tr>
        <w:tc>
          <w:tcPr>
            <w:tcW w:type="dxa" w:w="4320"/>
          </w:tcPr>
          <w:p>
            <w:r>
              <w:t>LAMA</w:t>
            </w:r>
          </w:p>
        </w:tc>
        <w:tc>
          <w:tcPr>
            <w:tcW w:type="dxa" w:w="4320"/>
          </w:tcPr>
          <w:p>
            <w:r>
              <w:t>Written LAMA guidance; patient/attendant declarations; record of consequences explained.</w:t>
            </w:r>
          </w:p>
        </w:tc>
      </w:tr>
      <w:tr>
        <w:tc>
          <w:tcPr>
            <w:tcW w:type="dxa" w:w="4320"/>
          </w:tcPr>
          <w:p>
            <w:r>
              <w:t>Discharge summary issuance</w:t>
            </w:r>
          </w:p>
        </w:tc>
        <w:tc>
          <w:tcPr>
            <w:tcW w:type="dxa" w:w="4320"/>
          </w:tcPr>
          <w:p>
            <w:r>
              <w:t>Copy of discharge summary retained in the medical record for every leaver sampled; death summary acknowledgement.</w:t>
            </w:r>
          </w:p>
        </w:tc>
      </w:tr>
      <w:tr>
        <w:tc>
          <w:tcPr>
            <w:tcW w:type="dxa" w:w="4320"/>
          </w:tcPr>
          <w:p>
            <w:r>
              <w:t>Planned discharge</w:t>
            </w:r>
          </w:p>
        </w:tc>
        <w:tc>
          <w:tcPr>
            <w:tcW w:type="dxa" w:w="4320"/>
          </w:tcPr>
          <w:p>
            <w:r>
              <w:t>Expected discharge noted in advance; draft summary and special-needs preparation; unplanned discharge log with reasons.</w:t>
            </w:r>
          </w:p>
        </w:tc>
      </w:tr>
      <w:tr>
        <w:tc>
          <w:tcPr>
            <w:tcW w:type="dxa" w:w="4320"/>
          </w:tcPr>
          <w:p>
            <w:r>
              <w:t>Domiciliary visits</w:t>
            </w:r>
          </w:p>
        </w:tc>
        <w:tc>
          <w:tcPr>
            <w:tcW w:type="dxa" w:w="4320"/>
          </w:tcPr>
          <w:p>
            <w:r>
              <w:t>Scope statement; visit schedule and notes for eligible patients.</w:t>
            </w:r>
          </w:p>
        </w:tc>
      </w:tr>
      <w:tr>
        <w:tc>
          <w:tcPr>
            <w:tcW w:type="dxa" w:w="4320"/>
          </w:tcPr>
          <w:p>
            <w:r>
              <w:t>Discharge-time monitoring</w:t>
            </w:r>
          </w:p>
        </w:tc>
        <w:tc>
          <w:tcPr>
            <w:tcW w:type="dxa" w:w="4320"/>
          </w:tcPr>
          <w:p>
            <w:r>
              <w:t>Discharge-time log from fit-for-discharge to bed vacated; delay analysis with improvement actions.</w:t>
            </w:r>
          </w:p>
        </w:tc>
      </w:tr>
    </w:tbl>
    <w:p>
      <w:pPr>
        <w:pStyle w:val="Heading1"/>
      </w:pPr>
      <w:r>
        <w:t>9. Training and staff acknowledgement</w:t>
      </w:r>
    </w:p>
    <w:p>
      <w:pPr/>
      <w:r>
        <w:t>All treating doctors, nursing staff, and departments involved in discharge shall be trained on the discharge process, LAMA guidance, and discharge-summary requirements in this policy, at induction and periodically.</w:t>
      </w:r>
    </w:p>
    <w:p>
      <w:pPr/>
      <w:r>
        <w:t>I have read the Policy on the Established Discharge Process of «Hospital Name» and understand my responsibilities under it.</w:t>
      </w:r>
    </w:p>
    <w:p>
      <w:pPr>
        <w:pStyle w:val="Heading1"/>
      </w:pPr>
      <w:r>
        <w:t>10. Distribution</w:t>
      </w:r>
    </w:p>
    <w:p>
      <w:pPr/>
      <w:r>
        <w:t>This policy shall be available to all clinical staff, accounts and administration,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LAMA</w:t>
            </w:r>
          </w:p>
        </w:tc>
        <w:tc>
          <w:tcPr>
            <w:tcW w:type="dxa" w:w="4320"/>
          </w:tcPr>
          <w:p>
            <w:r>
              <w:t>Leaving/Left Against Medical Advice</w:t>
            </w:r>
          </w:p>
        </w:tc>
      </w:tr>
      <w:tr>
        <w:tc>
          <w:tcPr>
            <w:tcW w:type="dxa" w:w="4320"/>
          </w:tcPr>
          <w:p>
            <w:r>
              <w:t>MLC</w:t>
            </w:r>
          </w:p>
        </w:tc>
        <w:tc>
          <w:tcPr>
            <w:tcW w:type="dxa" w:w="4320"/>
          </w:tcPr>
          <w:p>
            <w:r>
              <w:t>Medico-Legal Case</w:t>
            </w:r>
          </w:p>
        </w:tc>
      </w:tr>
      <w:tr>
        <w:tc>
          <w:tcPr>
            <w:tcW w:type="dxa" w:w="4320"/>
          </w:tcPr>
          <w:p>
            <w:r>
              <w:t>NABH</w:t>
            </w:r>
          </w:p>
        </w:tc>
        <w:tc>
          <w:tcPr>
            <w:tcW w:type="dxa" w:w="4320"/>
          </w:tcPr>
          <w:p>
            <w:r>
              <w:t>National Accreditation Board for Hospitals and Healthcare Providers</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AAC.12.a</w:t>
            </w:r>
          </w:p>
        </w:tc>
        <w:tc>
          <w:tcPr>
            <w:tcW w:type="dxa" w:w="2880"/>
          </w:tcPr>
          <w:p>
            <w:r>
              <w:t>Commitment</w:t>
            </w:r>
          </w:p>
        </w:tc>
        <w:tc>
          <w:tcPr>
            <w:tcW w:type="dxa" w:w="2880"/>
          </w:tcPr>
          <w:p>
            <w:r>
              <w:t>Sections 3 and 5.1 address discharge planning in consultation with the patient and family.</w:t>
            </w:r>
          </w:p>
        </w:tc>
      </w:tr>
      <w:tr>
        <w:tc>
          <w:tcPr>
            <w:tcW w:type="dxa" w:w="2880"/>
          </w:tcPr>
          <w:p>
            <w:r>
              <w:t>AAC.12.b</w:t>
            </w:r>
          </w:p>
        </w:tc>
        <w:tc>
          <w:tcPr>
            <w:tcW w:type="dxa" w:w="2880"/>
          </w:tcPr>
          <w:p>
            <w:r>
              <w:t>Commitment*</w:t>
            </w:r>
          </w:p>
        </w:tc>
        <w:tc>
          <w:tcPr>
            <w:tcW w:type="dxa" w:w="2880"/>
          </w:tcPr>
          <w:p>
            <w:r>
              <w:t>Sections 3 and 5.2 address coordination of discharge among departments and agencies.</w:t>
            </w:r>
          </w:p>
        </w:tc>
      </w:tr>
      <w:tr>
        <w:tc>
          <w:tcPr>
            <w:tcW w:type="dxa" w:w="2880"/>
          </w:tcPr>
          <w:p>
            <w:r>
              <w:t>AAC.12.c</w:t>
            </w:r>
          </w:p>
        </w:tc>
        <w:tc>
          <w:tcPr>
            <w:tcW w:type="dxa" w:w="2880"/>
          </w:tcPr>
          <w:p>
            <w:r>
              <w:t>Commitment*</w:t>
            </w:r>
          </w:p>
        </w:tc>
        <w:tc>
          <w:tcPr>
            <w:tcW w:type="dxa" w:w="2880"/>
          </w:tcPr>
          <w:p>
            <w:r>
              <w:t>Sections 3 and 5.3 address written guidance for discharge against medical advice.</w:t>
            </w:r>
          </w:p>
        </w:tc>
      </w:tr>
      <w:tr>
        <w:tc>
          <w:tcPr>
            <w:tcW w:type="dxa" w:w="2880"/>
          </w:tcPr>
          <w:p>
            <w:r>
              <w:t>AAC.12.d</w:t>
            </w:r>
          </w:p>
        </w:tc>
        <w:tc>
          <w:tcPr>
            <w:tcW w:type="dxa" w:w="2880"/>
          </w:tcPr>
          <w:p>
            <w:r>
              <w:t>Commitment</w:t>
            </w:r>
          </w:p>
        </w:tc>
        <w:tc>
          <w:tcPr>
            <w:tcW w:type="dxa" w:w="2880"/>
          </w:tcPr>
          <w:p>
            <w:r>
              <w:t>Sections 3 and 5.4 address issuing a discharge summary to every leaving patient.</w:t>
            </w:r>
          </w:p>
        </w:tc>
      </w:tr>
      <w:tr>
        <w:tc>
          <w:tcPr>
            <w:tcW w:type="dxa" w:w="2880"/>
          </w:tcPr>
          <w:p>
            <w:r>
              <w:t>AAC.12.e</w:t>
            </w:r>
          </w:p>
        </w:tc>
        <w:tc>
          <w:tcPr>
            <w:tcW w:type="dxa" w:w="2880"/>
          </w:tcPr>
          <w:p>
            <w:r>
              <w:t>Commitment</w:t>
            </w:r>
          </w:p>
        </w:tc>
        <w:tc>
          <w:tcPr>
            <w:tcW w:type="dxa" w:w="2880"/>
          </w:tcPr>
          <w:p>
            <w:r>
              <w:t>Sections 3 and 5.5 address adherence to planned discharge.</w:t>
            </w:r>
          </w:p>
        </w:tc>
      </w:tr>
      <w:tr>
        <w:tc>
          <w:tcPr>
            <w:tcW w:type="dxa" w:w="2880"/>
          </w:tcPr>
          <w:p>
            <w:r>
              <w:t>AAC.12.f</w:t>
            </w:r>
          </w:p>
        </w:tc>
        <w:tc>
          <w:tcPr>
            <w:tcW w:type="dxa" w:w="2880"/>
          </w:tcPr>
          <w:p>
            <w:r>
              <w:t>Commitment</w:t>
            </w:r>
          </w:p>
        </w:tc>
        <w:tc>
          <w:tcPr>
            <w:tcW w:type="dxa" w:w="2880"/>
          </w:tcPr>
          <w:p>
            <w:r>
              <w:t>Sections 3 and 5.6 address domiciliary visits where applicable.</w:t>
            </w:r>
          </w:p>
        </w:tc>
      </w:tr>
      <w:tr>
        <w:tc>
          <w:tcPr>
            <w:tcW w:type="dxa" w:w="2880"/>
          </w:tcPr>
          <w:p>
            <w:r>
              <w:t>AAC.12.g</w:t>
            </w:r>
          </w:p>
        </w:tc>
        <w:tc>
          <w:tcPr>
            <w:tcW w:type="dxa" w:w="2880"/>
          </w:tcPr>
          <w:p>
            <w:r>
              <w:t>Commitment</w:t>
            </w:r>
          </w:p>
        </w:tc>
        <w:tc>
          <w:tcPr>
            <w:tcW w:type="dxa" w:w="2880"/>
          </w:tcPr>
          <w:p>
            <w:r>
              <w:t>Sections 3 and 5.7 address monitoring and improving discharge time.</w:t>
            </w:r>
          </w:p>
        </w:tc>
      </w:tr>
    </w:tbl>
    <w:p>
      <w:pPr>
        <w:pStyle w:val="Heading1"/>
      </w:pPr>
      <w:r>
        <w:t>13. Required records/evidence checklist</w:t>
      </w:r>
    </w:p>
    <w:p>
      <w:pPr>
        <w:pStyle w:val="Heading2"/>
      </w:pPr>
      <w:r>
        <w:t>Discharge planning — AAC.12.a (Commitment)</w:t>
      </w:r>
    </w:p>
    <w:p>
      <w:pPr>
        <w:pStyle w:val="ListBullet"/>
      </w:pPr>
      <w:r>
        <w:t>Reassessment note stating readiness for discharge.</w:t>
      </w:r>
    </w:p>
    <w:p>
      <w:pPr>
        <w:pStyle w:val="ListBullet"/>
      </w:pPr>
      <w:r>
        <w:t>Record of discussion with patient and/or family about the discharge plan.</w:t>
      </w:r>
    </w:p>
    <w:p>
      <w:pPr>
        <w:pStyle w:val="Heading2"/>
      </w:pPr>
      <w:r>
        <w:t>Departmental coordination — AAC.12.b (Commitment*)</w:t>
      </w:r>
    </w:p>
    <w:p>
      <w:pPr>
        <w:pStyle w:val="ListBullet"/>
      </w:pPr>
      <w:r>
        <w:t>Documented discharge procedure covering department coordination including accounts.</w:t>
      </w:r>
    </w:p>
    <w:p>
      <w:pPr>
        <w:pStyle w:val="ListBullet"/>
      </w:pPr>
      <w:r>
        <w:t>MLC discharge file with police intimation record.</w:t>
      </w:r>
    </w:p>
    <w:p>
      <w:pPr>
        <w:pStyle w:val="ListBullet"/>
      </w:pPr>
      <w:r>
        <w:t>Absconded-case coordination record where applicable.</w:t>
      </w:r>
    </w:p>
    <w:p>
      <w:pPr>
        <w:pStyle w:val="Heading2"/>
      </w:pPr>
      <w:r>
        <w:t>LAMA guidance — AAC.12.c (Commitment*)</w:t>
      </w:r>
    </w:p>
    <w:p>
      <w:pPr>
        <w:pStyle w:val="ListBullet"/>
      </w:pPr>
      <w:r>
        <w:t>Current LAMA written guidance.</w:t>
      </w:r>
    </w:p>
    <w:p>
      <w:pPr>
        <w:pStyle w:val="ListBullet"/>
      </w:pPr>
      <w:r>
        <w:t>Patient/attendant LAMA declaration in the required format.</w:t>
      </w:r>
    </w:p>
    <w:p>
      <w:pPr>
        <w:pStyle w:val="ListBullet"/>
      </w:pPr>
      <w:r>
        <w:t>Record that the treating doctor explained consequences.</w:t>
      </w:r>
    </w:p>
    <w:p>
      <w:pPr>
        <w:pStyle w:val="Heading2"/>
      </w:pPr>
      <w:r>
        <w:t>Discharge summary issuance — AAC.12.d (Commitment)</w:t>
      </w:r>
    </w:p>
    <w:p>
      <w:pPr>
        <w:pStyle w:val="ListBullet"/>
      </w:pPr>
      <w:r>
        <w:t>Copy of discharge summary retained in the medical record for every leaver sampled.</w:t>
      </w:r>
    </w:p>
    <w:p>
      <w:pPr>
        <w:pStyle w:val="ListBullet"/>
      </w:pPr>
      <w:r>
        <w:t>LAMA cases with summary handed over; death summary acknowledgement by next of kin.</w:t>
      </w:r>
    </w:p>
    <w:p>
      <w:pPr>
        <w:pStyle w:val="Heading2"/>
      </w:pPr>
      <w:r>
        <w:t>Planned discharge — AAC.12.e (Commitment)</w:t>
      </w:r>
    </w:p>
    <w:p>
      <w:pPr>
        <w:pStyle w:val="ListBullet"/>
      </w:pPr>
      <w:r>
        <w:t>Expected discharge noted at least 24 hours in advance for planned cases.</w:t>
      </w:r>
    </w:p>
    <w:p>
      <w:pPr>
        <w:pStyle w:val="ListBullet"/>
      </w:pPr>
      <w:r>
        <w:t>Draft discharge summary and special-needs preparation before discharge.</w:t>
      </w:r>
    </w:p>
    <w:p>
      <w:pPr>
        <w:pStyle w:val="ListBullet"/>
      </w:pPr>
      <w:r>
        <w:t>Log of unplanned discharges with reasons and minimisation actions.</w:t>
      </w:r>
    </w:p>
    <w:p>
      <w:pPr>
        <w:pStyle w:val="Heading2"/>
      </w:pPr>
      <w:r>
        <w:t>Domiciliary visits — AAC.12.f (Commitment)</w:t>
      </w:r>
    </w:p>
    <w:p>
      <w:pPr>
        <w:pStyle w:val="ListBullet"/>
      </w:pPr>
      <w:r>
        <w:t>Scope statement or written note of when domiciliary visits apply.</w:t>
      </w:r>
    </w:p>
    <w:p>
      <w:pPr>
        <w:pStyle w:val="ListBullet"/>
      </w:pPr>
      <w:r>
        <w:t>Domiciliary visit schedule and visit notes for eligible patients.</w:t>
      </w:r>
    </w:p>
    <w:p>
      <w:pPr>
        <w:pStyle w:val="Heading2"/>
      </w:pPr>
      <w:r>
        <w:t>Discharge-time monitoring — AAC.12.g (Commitment)</w:t>
      </w:r>
    </w:p>
    <w:p>
      <w:pPr>
        <w:pStyle w:val="ListBullet"/>
      </w:pPr>
      <w:r>
        <w:t>Defined discharge-time benchmarks (by payer mix where used).</w:t>
      </w:r>
    </w:p>
    <w:p>
      <w:pPr>
        <w:pStyle w:val="ListBullet"/>
      </w:pPr>
      <w:r>
        <w:t>Discharge-time log; delay analysis with continual-improvement actions.</w:t>
      </w:r>
    </w:p>
    <w:p>
      <w:pPr>
        <w:pStyle w:val="Heading1"/>
      </w:pPr>
      <w:r>
        <w:t>14. References</w:t>
      </w:r>
    </w:p>
    <w:p>
      <w:pPr>
        <w:pStyle w:val="ListNumber"/>
      </w:pPr>
      <w:r>
        <w:t>National Accreditation Board for Hospitals and Healthcare Providers. NABH Accreditation Standards for Hospitals, 6th Edition. AAC.12.</w:t>
      </w:r>
    </w:p>
    <w:p>
      <w:pPr>
        <w:pStyle w:val="ListNumber"/>
      </w:pPr>
      <w:r>
        <w:t>Guidebook interpretation supplied for AAC.12.a through AAC.12.g.</w:t>
      </w:r>
    </w:p>
    <w:p>
      <w:pPr>
        <w:pStyle w:val="Heading1"/>
      </w:pPr>
      <w:r>
        <w:t>Disclaimer</w:t>
      </w:r>
    </w:p>
    <w:p>
      <w:pPr/>
      <w:r>
        <w:t>This policy reorganises the supplied AAC.12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 including medico-legal reporting obligations.</w:t>
      </w:r>
    </w:p>
    <w:p>
      <w:pPr/>
      <w:r>
        <w:t>This policy shall be reviewed at least once every year, or earlier if NABH standards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