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HRM.5.b — Health checks of staff are done at least once a year and the findings/results are documented.</w:t>
      </w:r>
    </w:p>
    <w:p>
      <w:r>
        <w:t>HRM.5 Record 02 — Annual health check form and schedule</w:t>
      </w:r>
    </w:p>
    <w:p/>
    <w:p/>
    <w:p/>
    <w:p>
      <w:r>
        <w:t>How to fill this in — column by column</w:t>
      </w:r>
    </w:p>
    <w:p>
      <w:pPr>
        <w:pStyle w:val="ListParagraph"/>
      </w:pPr>
      <w:r>
        <w:t>Employee Name / Role: The staff member checked.</w:t>
      </w:r>
    </w:p>
    <w:p>
      <w:pPr>
        <w:pStyle w:val="ListParagraph"/>
      </w:pPr>
      <w:r>
        <w:t>Check Date: When the check was done.</w:t>
      </w:r>
    </w:p>
    <w:p>
      <w:pPr>
        <w:pStyle w:val="ListParagraph"/>
      </w:pPr>
      <w:r>
        <w:t>Findings Summary: General examination, screening and test results.</w:t>
      </w:r>
    </w:p>
    <w:p>
      <w:pPr>
        <w:pStyle w:val="ListParagraph"/>
      </w:pPr>
      <w:r>
        <w:t>Abnormal Finding (Y/N): Whether anything needs follow-up.</w:t>
      </w:r>
    </w:p>
    <w:p>
      <w:pPr>
        <w:pStyle w:val="ListParagraph"/>
      </w:pPr>
      <w:r>
        <w:t>Referral / Reassignment (If Applicable): Follow-up treatment arranged, or reassignment pending clearance.</w:t>
      </w:r>
    </w:p>
    <w:p>
      <w:r>
        <w:t>The first data row below (shaded yellow, and marked WORKED EXAMPLE in the row itself) is a worked example already filled in correctly. Delete it or overwrite it once you start using this record for real — don't leave the example row mixed in with real entries. Add more blank rows as needed; don't create a second copy of this file.</w:t>
      </w:r>
    </w:p>
    <w:p/>
    <w:p>
      <w:r>
        <w:t>Where this requirement comes from (verified, clickable sources)</w:t>
      </w:r>
    </w:p>
    <w:p>
      <w:pPr>
        <w:pStyle w:val="ListParagraph"/>
      </w:pPr>
      <w:r>
        <w:t xml:space="preserve">National Accreditation Board for Hospitals and Healthcare Providers. (2022). Standards for Small Healthcare Organisations (3rd ed.). </w:t>
      </w:r>
      <w:hyperlink r:id="rId9">
        <w:r>
          <w:rPr>
            <w:color w:val="0563C1"/>
            <w:u w:val="single"/>
          </w:rPr>
          <w:t>NABH SHCO Accreditation Programme page</w:t>
        </w:r>
      </w:hyperlink>
      <w:r>
        <w:t>. Human Resource Management chapter, standard HRM.5.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b/>
              </w:rPr>
              <w:t>What is this record, in plain terms?</w:t>
            </w:r>
          </w:p>
          <w:p>
            <w:r>
              <w:t>This record is the documented finding from every staff member's annual health check — not just confirmation a check happened, but what it actually found.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b/>
              </w:rPr>
              <w:t>A real example of when you'd use this</w:t>
            </w:r>
          </w:p>
          <w:p>
            <w:r>
              <w:t>The HR In-Charge schedules and files this annually for every active staff member. The worked example shows a lab technician's normal annual check.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b/>
              </w:rPr>
              <w:t>Why does NABH ask for this?</w:t>
            </w:r>
          </w:p>
          <w:p>
            <w:r>
              <w:t>A health check that happens with no documented finding proves nothing — this record is what makes the check something the hospital can act on, not just an appointment kept.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rPr>
          <w:cantSplit/>
        </w:trPr>
        <w:tc>
          <w:tcPr>
            <w:tcW w:type="dxa" w:w="1728"/>
          </w:tcPr>
          <w:p>
            <w:r>
              <w:t>Employee Name / Role</w:t>
            </w:r>
          </w:p>
        </w:tc>
        <w:tc>
          <w:tcPr>
            <w:tcW w:type="dxa" w:w="1728"/>
          </w:tcPr>
          <w:p>
            <w:r>
              <w:t>Check Date</w:t>
            </w:r>
          </w:p>
        </w:tc>
        <w:tc>
          <w:tcPr>
            <w:tcW w:type="dxa" w:w="1728"/>
          </w:tcPr>
          <w:p>
            <w:r>
              <w:t>Findings Summary</w:t>
            </w:r>
          </w:p>
        </w:tc>
        <w:tc>
          <w:tcPr>
            <w:tcW w:type="dxa" w:w="1728"/>
          </w:tcPr>
          <w:p>
            <w:r>
              <w:t>Abnormal Finding (Y/N)</w:t>
            </w:r>
          </w:p>
        </w:tc>
        <w:tc>
          <w:tcPr>
            <w:tcW w:type="dxa" w:w="1728"/>
          </w:tcPr>
          <w:p>
            <w:r>
              <w:t>Referral / Reassignment (If Applicable)</w:t>
            </w:r>
          </w:p>
        </w:tc>
      </w:tr>
      <w:tr>
        <w:trPr>
          <w:cantSplit/>
        </w:trPr>
        <w:tc>
          <w:tcPr>
            <w:tcW w:type="dxa" w:w="1728"/>
            <w:shd w:val="clear" w:color="auto" w:fill="FFF2CC"/>
          </w:tcPr>
          <w:p>
            <w:r/>
          </w:p>
        </w:tc>
        <w:tc>
          <w:tcPr>
            <w:tcW w:type="dxa" w:w="1728"/>
            <w:shd w:val="clear" w:color="auto" w:fill="FFF2CC"/>
          </w:tcPr>
          <w:p>
            <w:r/>
          </w:p>
        </w:tc>
        <w:tc>
          <w:tcPr>
            <w:tcW w:type="dxa" w:w="1728"/>
            <w:shd w:val="clear" w:color="auto" w:fill="FFF2CC"/>
          </w:tcPr>
          <w:p>
            <w:r/>
          </w:p>
        </w:tc>
        <w:tc>
          <w:tcPr>
            <w:tcW w:type="dxa" w:w="1728"/>
            <w:shd w:val="clear" w:color="auto" w:fill="FFF2CC"/>
          </w:tcPr>
          <w:p>
            <w:r/>
          </w:p>
        </w:tc>
        <w:tc>
          <w:tcPr>
            <w:tcW w:type="dxa" w:w="1728"/>
            <w:shd w:val="clear" w:color="auto" w:fill="FFF2CC"/>
          </w:tcPr>
          <w:p>
            <w:r/>
          </w:p>
        </w:tc>
      </w:tr>
      <w:tr>
        <w:trPr>
          <w:cantSplit/>
        </w:trPr>
        <w:tc>
          <w:tcPr>
            <w:tcW w:type="dxa" w:w="1728"/>
            <w:shd w:val="clear" w:color="auto" w:fill="FFF2CC"/>
          </w:tcPr>
          <w:p>
            <w:r>
              <w:t>Kiran Desai, Lab Technician</w:t>
            </w:r>
          </w:p>
        </w:tc>
        <w:tc>
          <w:tcPr>
            <w:tcW w:type="dxa" w:w="1728"/>
            <w:shd w:val="clear" w:color="auto" w:fill="FFF2CC"/>
          </w:tcPr>
          <w:p>
            <w:r>
              <w:t>20-Jan-2026</w:t>
            </w:r>
          </w:p>
        </w:tc>
        <w:tc>
          <w:tcPr>
            <w:tcW w:type="dxa" w:w="1728"/>
            <w:shd w:val="clear" w:color="auto" w:fill="FFF2CC"/>
          </w:tcPr>
          <w:p>
            <w:r>
              <w:t>General exam normal; chest X-ray clear; vaccination status current</w:t>
            </w:r>
          </w:p>
        </w:tc>
        <w:tc>
          <w:tcPr>
            <w:tcW w:type="dxa" w:w="1728"/>
            <w:shd w:val="clear" w:color="auto" w:fill="FFF2CC"/>
          </w:tcPr>
          <w:p>
            <w:r>
              <w:t>N</w:t>
            </w:r>
          </w:p>
        </w:tc>
        <w:tc>
          <w:tcPr>
            <w:tcW w:type="dxa" w:w="1728"/>
            <w:shd w:val="clear" w:color="auto" w:fill="FFF2CC"/>
          </w:tcPr>
          <w:p>
            <w:r>
              <w:t>N/A</w:t>
            </w:r>
          </w:p>
        </w:tc>
      </w:tr>
      <w:tr>
        <w:trPr>
          <w:cantSplit/>
        </w:trPr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</w:tr>
      <w:tr>
        <w:trPr>
          <w:cantSplit/>
        </w:trPr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</w:tr>
      <w:tr>
        <w:trPr>
          <w:cantSplit/>
        </w:trPr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</w:tr>
      <w:tr>
        <w:trPr>
          <w:cantSplit/>
        </w:trPr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</w:tr>
      <w:tr>
        <w:trPr>
          <w:cantSplit/>
        </w:trPr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</w:tr>
      <w:tr>
        <w:trPr>
          <w:cantSplit/>
        </w:trPr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</w:tr>
      <w:tr>
        <w:trPr>
          <w:cantSplit/>
        </w:trPr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</w:tr>
    </w:tbl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nabh.co/programmes/small-healthcare-organisation-shco-accreditation-programme/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