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HRM.5.c — Organisation provides treatment to staff who sustain workplace-related injuries.</w:t>
      </w:r>
    </w:p>
    <w:p>
      <w:r>
        <w:t>HRM.5 Record 03 — Workplace injury treatment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injured staff member.</w:t>
      </w:r>
    </w:p>
    <w:p>
      <w:pPr>
        <w:pStyle w:val="ListParagraph"/>
      </w:pPr>
      <w:r>
        <w:t>Date / Injury Type: When, and what kind of injury (slip/fall, manual handling, chemical, violence-related).</w:t>
      </w:r>
    </w:p>
    <w:p>
      <w:pPr>
        <w:pStyle w:val="ListParagraph"/>
      </w:pPr>
      <w:r>
        <w:t>First Aid / Medical Assessment: Immediate response provided.</w:t>
      </w:r>
    </w:p>
    <w:p>
      <w:pPr>
        <w:pStyle w:val="ListParagraph"/>
      </w:pPr>
      <w:r>
        <w:t>Treatment Provided / Where: Hospital's own emergency service or designated panel doctor.</w:t>
      </w:r>
    </w:p>
    <w:p>
      <w:pPr>
        <w:pStyle w:val="ListParagraph"/>
      </w:pPr>
      <w:r>
        <w:t>Return-to-Work Assessment (Date): When the staff member was cleared to return.</w:t>
      </w:r>
    </w:p>
    <w:p>
      <w:pPr>
        <w:pStyle w:val="ListParagraph"/>
      </w:pPr>
      <w:r>
        <w:t>Repeat Injury In Same Area (Y/N): Whether this triggers a hazard-register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HRM.5.</w:t>
      </w:r>
    </w:p>
    <w:p>
      <w:pPr>
        <w:pStyle w:val="ListParagraph"/>
      </w:pPr>
      <w:r>
        <w:t xml:space="preserve">Government of India. (1923, amended 2017). </w:t>
      </w:r>
      <w:hyperlink r:id="rId10">
        <w:r>
          <w:rPr>
            <w:color w:val="0563C1"/>
            <w:u w:val="single"/>
          </w:rPr>
          <w:t>The Employee's Compensation Act, 1923</w:t>
        </w:r>
      </w:hyperlink>
      <w:r>
        <w:t>. Section 3(1) makes an employer liable to pay compensation for a personal injury caused by an accident in the course of employment; Section 4(2A) requires reimbursement of actual medical expenditure. Referenced as the statutory basis for this step's injury-treatment duty, alongside the NABH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workplace injury from first aid through treatment to return-to-work clearance — the proof the hospital actually provided treatment, not just noted the injury happened.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documents this at the time of injury and tracks it through to clearance. The worked example shows a manual-handling injury treated and resolved within two weeks.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injury that is treated but never documented leaves the hospital with no record it met its duty to the staff member, and no way to notice a pattern — this log is both the compliance evidence and the early-warning 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Name / Role</w:t>
            </w:r>
          </w:p>
        </w:tc>
        <w:tc>
          <w:tcPr>
            <w:tcW w:type="dxa" w:w="1440"/>
          </w:tcPr>
          <w:p>
            <w:r>
              <w:t>Date / Injury Type</w:t>
            </w:r>
          </w:p>
        </w:tc>
        <w:tc>
          <w:tcPr>
            <w:tcW w:type="dxa" w:w="1440"/>
          </w:tcPr>
          <w:p>
            <w:r>
              <w:t>First Aid / Medical Assessment</w:t>
            </w:r>
          </w:p>
        </w:tc>
        <w:tc>
          <w:tcPr>
            <w:tcW w:type="dxa" w:w="1440"/>
          </w:tcPr>
          <w:p>
            <w:r>
              <w:t>Treatment Provided / Where</w:t>
            </w:r>
          </w:p>
        </w:tc>
        <w:tc>
          <w:tcPr>
            <w:tcW w:type="dxa" w:w="1440"/>
          </w:tcPr>
          <w:p>
            <w:r>
              <w:t>Return-to-Work Assessment (Date)</w:t>
            </w:r>
          </w:p>
        </w:tc>
        <w:tc>
          <w:tcPr>
            <w:tcW w:type="dxa" w:w="1440"/>
          </w:tcPr>
          <w:p>
            <w:r>
              <w:t>Repeat Injury In Same Area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Ramila Patel, Ward Attendant</w:t>
            </w:r>
          </w:p>
        </w:tc>
        <w:tc>
          <w:tcPr>
            <w:tcW w:type="dxa" w:w="1440"/>
            <w:shd w:val="clear" w:color="auto" w:fill="FFF2CC"/>
          </w:tcPr>
          <w:p>
            <w:r>
              <w:t>03-Mar-2026, manual handling (lower back strain lifting a patient)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First aid on site; physiotherapist assessment same day</w:t>
            </w:r>
          </w:p>
        </w:tc>
        <w:tc>
          <w:tcPr>
            <w:tcW w:type="dxa" w:w="1440"/>
            <w:shd w:val="clear" w:color="auto" w:fill="FFF2CC"/>
          </w:tcPr>
          <w:p>
            <w:r>
              <w:t>Hospital's own physiotherapy department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17-Mar-2026 — cleared for light duty, full duty 24-Mar-2026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labour.gov.in/sites/default/files/ec_ac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