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HRM.5.d — The organisation has measures in place for preventing and handling workplace violence.</w:t>
      </w:r>
    </w:p>
    <w:p>
      <w:r>
        <w:t>HRM.5 Record 04 — Workplace violence incident and post-event review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Location: When and where the incident occurred.</w:t>
      </w:r>
    </w:p>
    <w:p>
      <w:pPr>
        <w:pStyle w:val="ListParagraph"/>
      </w:pPr>
      <w:r>
        <w:t>Description: A brief, factual account of what happened.</w:t>
      </w:r>
    </w:p>
    <w:p>
      <w:pPr>
        <w:pStyle w:val="ListParagraph"/>
      </w:pPr>
      <w:r>
        <w:t>Immediate Response: Safety response taken at the time.</w:t>
      </w:r>
    </w:p>
    <w:p>
      <w:pPr>
        <w:pStyle w:val="ListParagraph"/>
      </w:pPr>
      <w:r>
        <w:t>Reported To (MS / Police, If Applicable): Who was notified.</w:t>
      </w:r>
    </w:p>
    <w:p>
      <w:pPr>
        <w:pStyle w:val="ListParagraph"/>
      </w:pPr>
      <w:r>
        <w:t>Support/Treatment Provided To Affected Staff: Medical treatment and/or counselling offered.</w:t>
      </w:r>
    </w:p>
    <w:p>
      <w:pPr>
        <w:pStyle w:val="ListParagraph"/>
      </w:pPr>
      <w:r>
        <w:t>Prevention Measures Reviewed After Event (Y/N, Changes Made): Whether the review led to any actual change.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HRM.5.</w:t>
      </w:r>
    </w:p>
    <w:p>
      <w:pPr>
        <w:pStyle w:val="ListParagraph"/>
      </w:pPr>
      <w:r>
        <w:t xml:space="preserve">World Health Organization, International Labour Organization, International Council of Nurses, &amp; Public Services International. (2002). </w:t>
      </w:r>
      <w:hyperlink r:id="rId10">
        <w:r>
          <w:rPr>
            <w:color w:val="0563C1"/>
            <w:u w:val="single"/>
          </w:rPr>
          <w:t>Framework Guidelines for Addressing Workplace Violence in the Health Sector</w:t>
        </w:r>
      </w:hyperlink>
      <w:r>
        <w:t>. The international framework this step's prevention and handling measures (de-escalation training, access control, zero-tolerance policy, post-event review) follow; referenced as an external benchmark, not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workplace violence incident from the immediate response through to whether prevention measures were actually reviewed and changed afterward.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and HR In-Charge complete this together after any incident. The worked example shows a visitor altercation that led to a concrete security change.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Prevention measures that are never reviewed after a real incident stay exactly as inadequate as they were when the incident happened — this record is what proves the hospital actually learns from each event.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/ Location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Immediate Response</w:t>
            </w:r>
          </w:p>
        </w:tc>
        <w:tc>
          <w:tcPr>
            <w:tcW w:type="dxa" w:w="1440"/>
          </w:tcPr>
          <w:p>
            <w:r>
              <w:t>Reported To (MS / Police, If Applicable)</w:t>
            </w:r>
          </w:p>
        </w:tc>
        <w:tc>
          <w:tcPr>
            <w:tcW w:type="dxa" w:w="1440"/>
          </w:tcPr>
          <w:p>
            <w:r>
              <w:t>Support/Treatment Provided To Affected Staff</w:t>
            </w:r>
          </w:p>
        </w:tc>
        <w:tc>
          <w:tcPr>
            <w:tcW w:type="dxa" w:w="1440"/>
          </w:tcPr>
          <w:p>
            <w:r>
              <w:t>Prevention Measures Reviewed After Event (Y/N, Changes Made)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22-Apr-2026, Emergency ward</w:t>
            </w:r>
          </w:p>
        </w:tc>
        <w:tc>
          <w:tcPr>
            <w:tcW w:type="dxa" w:w="1440"/>
            <w:shd w:val="clear" w:color="auto" w:fill="FFF2CC"/>
          </w:tcPr>
          <w:p>
            <w:r>
              <w:t>Visitor became verbally aggressive and pushed a nurse during a dispute over visiting hours</w:t>
            </w:r>
          </w:p>
        </w:tc>
        <w:tc>
          <w:tcPr>
            <w:tcW w:type="dxa" w:w="1440"/>
            <w:shd w:val="clear" w:color="auto" w:fill="FFF2CC"/>
          </w:tcPr>
          <w:p>
            <w:r>
              <w:t>Security intervened; visitor removed from premises</w:t>
            </w:r>
          </w:p>
        </w:tc>
        <w:tc>
          <w:tcPr>
            <w:tcW w:type="dxa" w:w="1440"/>
            <w:shd w:val="clear" w:color="auto" w:fill="FFF2CC"/>
          </w:tcPr>
          <w:p>
            <w:r>
              <w:t>Medical Superintendent, local police informed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assessed by duty doctor; offered counselling session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visiting-hours signage and security presence increased at that entrance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who.int/publications/i/item/9221134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