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MOM.1.a — The organisation develops, updates and implements a list of medications appropriate for the patients and as per the scope of the organisation's clinical services.</w:t>
      </w:r>
    </w:p>
    <w:p>
      <w:r>
        <w:t>MOM.1 Record 01 — Formulary review and revision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that the formulary is actually reviewed on schedule and that every addition or deletion carries a clinical reason -- not that a formulary simply exists somewhere.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committee adds a new antibiotic to the formulary after a new surgical service starts, and removes an older one flagged in a drug-safety alert. Both changes are logged with the reason.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formulary that was built once and never revisited drifts away from the patients the hospital actually treats -- this log is how the hospital shows the formulary is a living document, not a binder from three years ago.</w:t>
            </w:r>
          </w:p>
        </w:tc>
      </w:tr>
    </w:tbl>
    <w:p/>
    <w:p>
      <w:r>
        <w:t>How to fill this in — column by column</w:t>
      </w:r>
    </w:p>
    <w:p>
      <w:r>
        <w:t>Review Date: When this formulary review took place.</w:t>
      </w:r>
    </w:p>
    <w:p>
      <w:r>
        <w:t>Medication Added/Removed: The specific medication and whether it was added or removed.</w:t>
      </w:r>
    </w:p>
    <w:p>
      <w:r>
        <w:t>Clinical Rationale: Why the change was made.</w:t>
      </w:r>
    </w:p>
    <w:p>
      <w:r>
        <w:t>Reviewed/Approved By: Committee member or chair who approved the change.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MOM.1.</w:t>
      </w:r>
    </w:p>
    <w:p>
      <w:pPr>
        <w:pStyle w:val="ListParagraph"/>
      </w:pPr>
      <w:r>
        <w:t xml:space="preserve">• </w:t>
      </w:r>
      <w:r>
        <w:t xml:space="preserve">Government of India. (1940, as amended). </w:t>
      </w:r>
      <w:hyperlink r:id="rId10">
        <w:r>
          <w:rPr>
            <w:color w:val="0563C1"/>
            <w:u w:val="single"/>
          </w:rPr>
          <w:t>The Drugs and Cosmetics Act, 1940</w:t>
        </w:r>
      </w:hyperlink>
      <w:r>
        <w:t xml:space="preserve"> and the Drugs and Cosmetics Rules, 1945 (as amended) — the statutory basis for licensed pharmacy operation, labelling, storage, expiry, recall and disposal of medications.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Review Date</w:t>
            </w:r>
          </w:p>
        </w:tc>
        <w:tc>
          <w:tcPr>
            <w:tcW w:type="dxa" w:w="2160"/>
          </w:tcPr>
          <w:p>
            <w:r>
              <w:t>Medication Added/Removed</w:t>
            </w:r>
          </w:p>
        </w:tc>
        <w:tc>
          <w:tcPr>
            <w:tcW w:type="dxa" w:w="2160"/>
          </w:tcPr>
          <w:p>
            <w:r>
              <w:t>Clinical Rationale</w:t>
            </w:r>
          </w:p>
        </w:tc>
        <w:tc>
          <w:tcPr>
            <w:tcW w:type="dxa" w:w="2160"/>
          </w:tcPr>
          <w:p>
            <w:r>
              <w:t>Reviewed/Approved By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10-Jan-2026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Added: Amoxicillin-Clavulanate 625mg</w:t>
            </w:r>
          </w:p>
        </w:tc>
        <w:tc>
          <w:tcPr>
            <w:tcW w:type="dxa" w:w="2160"/>
            <w:shd w:val="clear" w:color="auto" w:fill="FFF2CC"/>
          </w:tcPr>
          <w:p>
            <w:r>
              <w:t>New day-care surgical service started; antibiotic not previously in formulary</w:t>
            </w:r>
          </w:p>
        </w:tc>
        <w:tc>
          <w:tcPr>
            <w:tcW w:type="dxa" w:w="2160"/>
            <w:shd w:val="clear" w:color="auto" w:fill="FFF2CC"/>
          </w:tcPr>
          <w:p>
            <w:r>
              <w:t>Dr. Committee Chair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prsindia.org/files/bills_acts/bills_parliament/2007/bill145_20080430145_THE_DRUGS_AND_COSMETICS_ACT_1940_with_2007_amendmen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