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MOM.1.c — The organisation adheres to the procedure for the acquisition of formulary medications and medications not listed in the formulary.</w:t>
      </w:r>
    </w:p>
    <w:p>
      <w:r>
        <w:t>MOM.1 Record 03 — Non-formulary medication acquisition register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that every non-formulary medication was requested in writing, approved by the right person, and documented -- not quietly obtained because the formulary didn't have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prescriber requests a non-formulary medication for an unusual presentation; the Pharmacy In-Charge approves it and logs the request before it is dispensed.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medication acquired outside the formulary with no approval trail is a decision the hospital cannot later account for if something goes wrong with that batch.</w:t>
            </w:r>
          </w:p>
        </w:tc>
      </w:tr>
    </w:tbl>
    <w:p/>
    <w:p>
      <w:r>
        <w:t>How to fill this in — column by column</w:t>
      </w:r>
    </w:p>
    <w:p>
      <w:r>
        <w:t>Date: Date of the request.</w:t>
      </w:r>
    </w:p>
    <w:p>
      <w:r>
        <w:t>Patient (Identifier 1) / UID (Identifier 2): The patient this medication is for.</w:t>
      </w:r>
    </w:p>
    <w:p>
      <w:r>
        <w:t>Medication Requested: Name and strength.</w:t>
      </w:r>
    </w:p>
    <w:p>
      <w:r>
        <w:t>Requesting Doctor: Who requested it.</w:t>
      </w:r>
    </w:p>
    <w:p>
      <w:r>
        <w:t>Approved By: Pharmacy In-Charge or committee member who approved.</w:t>
      </w:r>
    </w:p>
    <w:p>
      <w:r>
        <w:t>Emergency / Retrospective Approval: Whether this was an emergency request approved after the fact, and when.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MOM.1.</w:t>
      </w:r>
    </w:p>
    <w:p>
      <w:pPr>
        <w:pStyle w:val="ListParagraph"/>
      </w:pPr>
      <w:r>
        <w:t xml:space="preserve">• </w:t>
      </w:r>
      <w:r>
        <w:t xml:space="preserve">Government of India. (1940, as amended). </w:t>
      </w:r>
      <w:hyperlink r:id="rId10">
        <w:r>
          <w:rPr>
            <w:color w:val="0563C1"/>
            <w:u w:val="single"/>
          </w:rPr>
          <w:t>The Drugs and Cosmetics Act, 1940</w:t>
        </w:r>
      </w:hyperlink>
      <w:r>
        <w:t xml:space="preserve"> and the Drugs and Cosmetics Rules, 1945 (as amended) — the statutory basis for licensed pharmacy operation, labelling, storage, expiry, recall and disposal of medications.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(Identifier 1) / UID (Identifier 2)</w:t>
            </w:r>
          </w:p>
        </w:tc>
        <w:tc>
          <w:tcPr>
            <w:tcW w:type="dxa" w:w="1440"/>
          </w:tcPr>
          <w:p>
            <w:r>
              <w:t>Medication Requested</w:t>
            </w:r>
          </w:p>
        </w:tc>
        <w:tc>
          <w:tcPr>
            <w:tcW w:type="dxa" w:w="1440"/>
          </w:tcPr>
          <w:p>
            <w:r>
              <w:t>Requesting Doctor</w:t>
            </w:r>
          </w:p>
        </w:tc>
        <w:tc>
          <w:tcPr>
            <w:tcW w:type="dxa" w:w="1440"/>
          </w:tcPr>
          <w:p>
            <w:r>
              <w:t>Approved By</w:t>
            </w:r>
          </w:p>
        </w:tc>
        <w:tc>
          <w:tcPr>
            <w:tcW w:type="dxa" w:w="1440"/>
          </w:tcPr>
          <w:p>
            <w:r>
              <w:t>Emergency / Retrospective Approval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WORKED EXAMPLE — 20-Jan-2026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Ramesh Shah / UID-00512</w:t>
            </w:r>
          </w:p>
        </w:tc>
        <w:tc>
          <w:tcPr>
            <w:tcW w:type="dxa" w:w="1440"/>
            <w:shd w:val="clear" w:color="auto" w:fill="FFF2CC"/>
          </w:tcPr>
          <w:p>
            <w:r>
              <w:t>Injection Omalizumab 150mg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Iyer</w:t>
            </w:r>
          </w:p>
        </w:tc>
        <w:tc>
          <w:tcPr>
            <w:tcW w:type="dxa" w:w="1440"/>
            <w:shd w:val="clear" w:color="auto" w:fill="FFF2CC"/>
          </w:tcPr>
          <w:p>
            <w:r>
              <w:t>Pharmacy In-Charge</w:t>
            </w:r>
          </w:p>
        </w:tc>
        <w:tc>
          <w:tcPr>
            <w:tcW w:type="dxa" w:w="1440"/>
            <w:shd w:val="clear" w:color="auto" w:fill="FFF2CC"/>
          </w:tcPr>
          <w:p>
            <w:r>
              <w:t>No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prsindia.org/files/bills_acts/bills_parliament/2007/bill145_20080430145_THE_DRUGS_AND_COSMETICS_ACT_1940_with_2007_amendment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