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MOM.1.f — The clinicians adhere to the current formulary.</w:t>
      </w:r>
    </w:p>
    <w:p>
      <w:r>
        <w:t>MOM.1 Record 06 — Off-formulary prescription log and committee review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that off-formulary prescribing is actually tracked and reviewed by the committee -- not that the formulary exists while prescribers quietly ignore it.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prescriber writes an off-formulary order; the Pharmacy In-Charge flags and logs it, and the quarterly committee review decides whether the pattern needs action.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formulary nobody actually prescribes from is a document, not a practice -- the point of agreeing one is that it is the one that gets used.</w:t>
            </w:r>
          </w:p>
        </w:tc>
      </w:tr>
    </w:tbl>
    <w:p/>
    <w:p>
      <w:r>
        <w:t>How to fill this in — column by column</w:t>
      </w:r>
    </w:p>
    <w:p>
      <w:r>
        <w:t>Date: Date of the off-formulary prescription.</w:t>
      </w:r>
    </w:p>
    <w:p>
      <w:r>
        <w:t>Patient (Identifier 1) / UID (Identifier 2): The patient this medication is for.</w:t>
      </w:r>
    </w:p>
    <w:p>
      <w:r>
        <w:t>Medication Prescribed: Name and strength.</w:t>
      </w:r>
    </w:p>
    <w:p>
      <w:r>
        <w:t>Prescriber: Who wrote the order.</w:t>
      </w:r>
    </w:p>
    <w:p>
      <w:r>
        <w:t>Reason / Justification: Why the off-formulary medication was needed.</w:t>
      </w:r>
    </w:p>
    <w:p>
      <w:r>
        <w:t>Committee Action (Quarterly): Education, formulary revision, restriction, or no action needed.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MOM.1.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Patient (Identifier 1) / UID (Identifier 2)</w:t>
            </w:r>
          </w:p>
        </w:tc>
        <w:tc>
          <w:tcPr>
            <w:tcW w:type="dxa" w:w="1440"/>
          </w:tcPr>
          <w:p>
            <w:r>
              <w:t>Medication Prescribed</w:t>
            </w:r>
          </w:p>
        </w:tc>
        <w:tc>
          <w:tcPr>
            <w:tcW w:type="dxa" w:w="1440"/>
          </w:tcPr>
          <w:p>
            <w:r>
              <w:t>Prescriber</w:t>
            </w:r>
          </w:p>
        </w:tc>
        <w:tc>
          <w:tcPr>
            <w:tcW w:type="dxa" w:w="1440"/>
          </w:tcPr>
          <w:p>
            <w:r>
              <w:t>Reason / Justification</w:t>
            </w:r>
          </w:p>
        </w:tc>
        <w:tc>
          <w:tcPr>
            <w:tcW w:type="dxa" w:w="1440"/>
          </w:tcPr>
          <w:p>
            <w:r>
              <w:t>Committee Action (Quarterly)</w:t>
            </w:r>
          </w:p>
        </w:tc>
      </w:tr>
      <w:t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c>
          <w:tcPr>
            <w:tcW w:type="dxa" w:w="1440"/>
            <w:shd w:val="clear" w:color="auto" w:fill="FFF2CC"/>
          </w:tcPr>
          <w:p>
            <w:r>
              <w:t>WORKED EXAMPLE — 28-Jan-2026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Arjun Nair / UID-00527</w:t>
            </w:r>
          </w:p>
        </w:tc>
        <w:tc>
          <w:tcPr>
            <w:tcW w:type="dxa" w:w="1440"/>
            <w:shd w:val="clear" w:color="auto" w:fill="FFF2CC"/>
          </w:tcPr>
          <w:p>
            <w:r>
              <w:t>Injection Linezolid 600mg</w:t>
            </w:r>
          </w:p>
        </w:tc>
        <w:tc>
          <w:tcPr>
            <w:tcW w:type="dxa" w:w="1440"/>
            <w:shd w:val="clear" w:color="auto" w:fill="FFF2CC"/>
          </w:tcPr>
          <w:p>
            <w:r>
              <w:t>Dr. Mehta</w:t>
            </w:r>
          </w:p>
        </w:tc>
        <w:tc>
          <w:tcPr>
            <w:tcW w:type="dxa" w:w="1440"/>
            <w:shd w:val="clear" w:color="auto" w:fill="FFF2CC"/>
          </w:tcPr>
          <w:p>
            <w:r>
              <w:t>Resistant organism on culture; no formulary alternative</w:t>
            </w:r>
          </w:p>
        </w:tc>
        <w:tc>
          <w:tcPr>
            <w:tcW w:type="dxa" w:w="1440"/>
            <w:shd w:val="clear" w:color="auto" w:fill="FFF2CC"/>
          </w:tcPr>
          <w:p>
            <w:r>
              <w:t>No action needed — clinically justified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