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MOM.3.b — The organisation adheres to the determined minimum requirements of a prescription.</w:t>
      </w:r>
    </w:p>
    <w:p>
      <w:r>
        <w:t>MOM.3 Record 02 — Returned-prescription log (incomplete prescriptions)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incomplete prescriptions are actually caught and returned to the prescriber before dispensing -- not dispensed anyway because completing the missing piece seemed obvious.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prescription missing the route of administration is returned to the prescriber before the pharmacist dispenses anything.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prescription missing the route or the duration forces the pharmacist to guess what was meant -- and a guess at the point of dispensing is exactly the moment this record exists to prevent.</w:t>
            </w:r>
          </w:p>
        </w:tc>
      </w:tr>
    </w:tbl>
    <w:p/>
    <w:p>
      <w:r>
        <w:t>How to fill this in — column by column</w:t>
      </w:r>
    </w:p>
    <w:p>
      <w:r>
        <w:t>Date: Date the prescription was received.</w:t>
      </w:r>
    </w:p>
    <w:p>
      <w:r>
        <w:t>Patient (Identifier 1) / UID (Identifier 2): The patient.</w:t>
      </w:r>
    </w:p>
    <w:p>
      <w:r>
        <w:t>Missing Element: What minimum requirement was missing.</w:t>
      </w:r>
    </w:p>
    <w:p>
      <w:r>
        <w:t>Returned To: Prescriber's name.</w:t>
      </w:r>
    </w:p>
    <w:p>
      <w:r>
        <w:t>Resubmitted / Dispensed Date: When the corrected prescription came back.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Missing Element</w:t>
            </w:r>
          </w:p>
        </w:tc>
        <w:tc>
          <w:tcPr>
            <w:tcW w:type="dxa" w:w="1728"/>
          </w:tcPr>
          <w:p>
            <w:r>
              <w:t>Returned To</w:t>
            </w:r>
          </w:p>
        </w:tc>
        <w:tc>
          <w:tcPr>
            <w:tcW w:type="dxa" w:w="1728"/>
          </w:tcPr>
          <w:p>
            <w:r>
              <w:t>Resubmitted / Dispensed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03-Mar-2026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Lalitha Rao / UID-00603</w:t>
            </w:r>
          </w:p>
        </w:tc>
        <w:tc>
          <w:tcPr>
            <w:tcW w:type="dxa" w:w="1728"/>
            <w:shd w:val="clear" w:color="auto" w:fill="FFF2CC"/>
          </w:tcPr>
          <w:p>
            <w:r>
              <w:t>Route of administration not specified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Khan</w:t>
            </w:r>
          </w:p>
        </w:tc>
        <w:tc>
          <w:tcPr>
            <w:tcW w:type="dxa" w:w="1728"/>
            <w:shd w:val="clear" w:color="auto" w:fill="FFF2CC"/>
          </w:tcPr>
          <w:p>
            <w:r>
              <w:t>03-Mar-2026, same day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