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MOM.3.g — Corrective and/or preventive action(s) is taken based on the audit, where appropriate.</w:t>
      </w:r>
    </w:p>
    <w:p>
      <w:r>
        <w:t>MOM.3 Record 07 — Prescription audit CAPA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audit findings actually led to a decided action with an owner and a deadline, tracked to closure -- not a report filed and forgotten.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Following the allergy-documentation gap found in the audit, the committee assigns a re-training session to the ward in-charge, closed within a month.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audit that produces a report nobody acts on is a filing exercise, not a safety measure -- the finding only matters once it changes something.</w:t>
            </w:r>
          </w:p>
        </w:tc>
      </w:tr>
    </w:tbl>
    <w:p/>
    <w:p>
      <w:r>
        <w:t>How to fill this in — column by column</w:t>
      </w:r>
    </w:p>
    <w:p>
      <w:r>
        <w:t>Finding (from Audit): What the audit found.</w:t>
      </w:r>
    </w:p>
    <w:p>
      <w:r>
        <w:t>CAPA Decided: Education, formulary change, system redesign, or feedback.</w:t>
      </w:r>
    </w:p>
    <w:p>
      <w:r>
        <w:t>Owner: Who is responsible.</w:t>
      </w:r>
    </w:p>
    <w:p>
      <w:r>
        <w:t>Due Date: When it is due.</w:t>
      </w:r>
    </w:p>
    <w:p>
      <w:r>
        <w:t>Closure Date / Evidence: When and how it was confirmed closed.</w:t>
      </w:r>
    </w:p>
    <w:p>
      <w:r>
        <w:t>Root-Cause Analysis Needed (Y/N): Required if the same defect recurs within six months.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Finding (from Audit)</w:t>
            </w:r>
          </w:p>
        </w:tc>
        <w:tc>
          <w:tcPr>
            <w:tcW w:type="dxa" w:w="1440"/>
          </w:tcPr>
          <w:p>
            <w:r>
              <w:t>CAPA Decided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Due Date</w:t>
            </w:r>
          </w:p>
        </w:tc>
        <w:tc>
          <w:tcPr>
            <w:tcW w:type="dxa" w:w="1440"/>
          </w:tcPr>
          <w:p>
            <w:r>
              <w:t>Closure Date / Evidence</w:t>
            </w:r>
          </w:p>
        </w:tc>
        <w:tc>
          <w:tcPr>
            <w:tcW w:type="dxa" w:w="1440"/>
          </w:tcPr>
          <w:p>
            <w:r>
              <w:t>Root-Cause Analysis Needed (Y/N)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Allergy-documentation gap (WORKED EXAMPLE)</w:t>
            </w:r>
          </w:p>
        </w:tc>
        <w:tc>
          <w:tcPr>
            <w:tcW w:type="dxa" w:w="1440"/>
            <w:shd w:val="clear" w:color="auto" w:fill="FFF2CC"/>
          </w:tcPr>
          <w:p>
            <w:r>
              <w:t>Re-training session on allergy documentation</w:t>
            </w:r>
          </w:p>
        </w:tc>
        <w:tc>
          <w:tcPr>
            <w:tcW w:type="dxa" w:w="1440"/>
            <w:shd w:val="clear" w:color="auto" w:fill="FFF2CC"/>
          </w:tcPr>
          <w:p>
            <w:r>
              <w:t>Ward In-Charge Nurse</w:t>
            </w:r>
          </w:p>
        </w:tc>
        <w:tc>
          <w:tcPr>
            <w:tcW w:type="dxa" w:w="1440"/>
            <w:shd w:val="clear" w:color="auto" w:fill="FFF2CC"/>
          </w:tcPr>
          <w:p>
            <w:r>
              <w:t>15-Apr-2026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15-Apr-2026 — training attendance record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