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 — Any nurse or staff member who cannot confirm patient identity, cannot verify the medication against the order, or finds a physical defect does not administer, and documents why.</w:t>
      </w:r>
    </w:p>
    <w:p>
      <w:r>
        <w:t>MOM.6 Record 10 — Administration stop-work (withheld dose)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dose was actually withheld when something could not be confirmed -- not administered anyway because the ward was busy.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cannot confirm a patient's identity because the wristband is missing and the patient is unresponsive; the dose is withheld, the prescriber contacted, and the event documented.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Administering a medication while something about the patient, the order, or the medication itself cannot be confirmed is trading an unresolved doubt for schedule pressure -- that trade is never the nurse's to make alone.</w:t>
            </w:r>
          </w:p>
        </w:tc>
      </w:tr>
    </w:tbl>
    <w:p/>
    <w:p>
      <w:r>
        <w:t>How to fill this in — column by column</w:t>
      </w:r>
    </w:p>
    <w:p>
      <w:r>
        <w:t>Date/Time: When withheld.</w:t>
      </w:r>
    </w:p>
    <w:p>
      <w:r>
        <w:t>Patient (Identifier 1) / UID (Identifier 2): The patient, where known.</w:t>
      </w:r>
    </w:p>
    <w:p>
      <w:r>
        <w:t>Reason Withheld: Identity, order, or physical defect.</w:t>
      </w:r>
    </w:p>
    <w:p>
      <w:r>
        <w:t>Withheld By: Staff member.</w:t>
      </w:r>
    </w:p>
    <w:p>
      <w:r>
        <w:t>Contacted / Resolution: Who was contacted and how it was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Reason Withheld</w:t>
            </w:r>
          </w:p>
        </w:tc>
        <w:tc>
          <w:tcPr>
            <w:tcW w:type="dxa" w:w="1728"/>
          </w:tcPr>
          <w:p>
            <w:r>
              <w:t>Withheld By</w:t>
            </w:r>
          </w:p>
        </w:tc>
        <w:tc>
          <w:tcPr>
            <w:tcW w:type="dxa" w:w="1728"/>
          </w:tcPr>
          <w:p>
            <w:r>
              <w:t>Contacted / Resolution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08-May-2026, 11:50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Unidentified patient, Bed 4, Ward 2</w:t>
            </w:r>
          </w:p>
        </w:tc>
        <w:tc>
          <w:tcPr>
            <w:tcW w:type="dxa" w:w="1728"/>
            <w:shd w:val="clear" w:color="auto" w:fill="FFF2CC"/>
          </w:tcPr>
          <w:p>
            <w:r>
              <w:t>Identity band missing, patient unresponsive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D.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Prescriber contacted — identity confirmed via family, band replaced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