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MOM.7.a — Patients are monitored after medication administration.</w:t>
      </w:r>
    </w:p>
    <w:p>
      <w:r>
        <w:t>MOM.7 Record 01 — Post-administration monitoring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every patient was actually observed after a medication was given, with monitoring timed to the medication's risk -- not left unobserved until the next scheduled round regardless of what was given.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patient given a first dose of a new IV antibiotic is monitored within 30 minutes; the observation and the time it was made are both documented.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Administering a medication is only half the job -- a reaction that is never watched for is a reaction that is caught late, if at all.</w:t>
            </w:r>
          </w:p>
        </w:tc>
      </w:tr>
    </w:tbl>
    <w:p/>
    <w:p>
      <w:r>
        <w:t>How to fill this in — column by column</w:t>
      </w:r>
    </w:p>
    <w:p>
      <w:r>
        <w:t>Date/Time of Administration: When the medication was given.</w:t>
      </w:r>
    </w:p>
    <w:p>
      <w:r>
        <w:t>Patient (Identifier 1) / UID (Identifier 2): The patient.</w:t>
      </w:r>
    </w:p>
    <w:p>
      <w:r>
        <w:t>Medication (Risk Level): High-risk/IV/first-dose or routine.</w:t>
      </w:r>
    </w:p>
    <w:p>
      <w:r>
        <w:t>Monitoring Time: Within 30 minutes, or next scheduled round.</w:t>
      </w:r>
    </w:p>
    <w:p>
      <w:r>
        <w:t>Observation: Therapeutic effect or adverse reaction noted.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Management of Medication chapter, standard MOM.7.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Date/Time of Administration</w:t>
            </w:r>
          </w:p>
        </w:tc>
        <w:tc>
          <w:tcPr>
            <w:tcW w:type="dxa" w:w="1728"/>
          </w:tcPr>
          <w:p>
            <w:r>
              <w:t>Patient (Identifier 1) / UID (Identifier 2)</w:t>
            </w:r>
          </w:p>
        </w:tc>
        <w:tc>
          <w:tcPr>
            <w:tcW w:type="dxa" w:w="1728"/>
          </w:tcPr>
          <w:p>
            <w:r>
              <w:t>Medication (Risk Level)</w:t>
            </w:r>
          </w:p>
        </w:tc>
        <w:tc>
          <w:tcPr>
            <w:tcW w:type="dxa" w:w="1728"/>
          </w:tcPr>
          <w:p>
            <w:r>
              <w:t>Monitoring Time</w:t>
            </w:r>
          </w:p>
        </w:tc>
        <w:tc>
          <w:tcPr>
            <w:tcW w:type="dxa" w:w="1728"/>
          </w:tcPr>
          <w:p>
            <w:r>
              <w:t>Observation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10-May-2026, 8:00 AM</w:t>
            </w:r>
          </w:p>
        </w:tc>
        <w:tc>
          <w:tcPr>
            <w:tcW w:type="dxa" w:w="1728"/>
            <w:shd w:val="clear" w:color="auto" w:fill="FFF2CC"/>
          </w:tcPr>
          <w:p>
            <w:r>
              <w:t>Tanvi Agarwal / UID-00791</w:t>
            </w:r>
          </w:p>
        </w:tc>
        <w:tc>
          <w:tcPr>
            <w:tcW w:type="dxa" w:w="1728"/>
            <w:shd w:val="clear" w:color="auto" w:fill="FFF2CC"/>
          </w:tcPr>
          <w:p>
            <w:r>
              <w:t>Vancomycin IV (high-risk, first dose)</w:t>
            </w:r>
          </w:p>
        </w:tc>
        <w:tc>
          <w:tcPr>
            <w:tcW w:type="dxa" w:w="1728"/>
            <w:shd w:val="clear" w:color="auto" w:fill="FFF2CC"/>
          </w:tcPr>
          <w:p>
            <w:r>
              <w:t>8:25 AM (within 30 min)</w:t>
            </w:r>
          </w:p>
        </w:tc>
        <w:tc>
          <w:tcPr>
            <w:tcW w:type="dxa" w:w="1728"/>
            <w:shd w:val="clear" w:color="auto" w:fill="FFF2CC"/>
          </w:tcPr>
          <w:p>
            <w:r>
              <w:t>No adverse reaction; vitals stable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