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MOM.7.b — Medications are changed where appropriate based on the monitoring.</w:t>
      </w:r>
    </w:p>
    <w:p>
      <w:r>
        <w:t>MOM.7 Record 02 — Medication change based on monitoring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medication change triggered by monitoring was actually documented with the clinical reason -- not changed informally with no trace of why.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Monitoring shows an inadequate response to an antibiotic; the treating doctor reviews and changes the order, documenting the reason in the clinical notes.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Monitoring that finds a problem but changes nothing is observation without action.</w:t>
            </w:r>
          </w:p>
        </w:tc>
      </w:tr>
    </w:tbl>
    <w:p/>
    <w:p>
      <w:r>
        <w:t>How to fill this in — column by column</w:t>
      </w:r>
    </w:p>
    <w:p>
      <w:r>
        <w:t>Date: Date of the change.</w:t>
      </w:r>
    </w:p>
    <w:p>
      <w:r>
        <w:t>Patient (Identifier 1) / UID (Identifier 2): The patient.</w:t>
      </w:r>
    </w:p>
    <w:p>
      <w:r>
        <w:t>Monitoring Finding: What the monitoring showed.</w:t>
      </w:r>
    </w:p>
    <w:p>
      <w:r>
        <w:t>Change Made: New order.</w:t>
      </w:r>
    </w:p>
    <w:p>
      <w:r>
        <w:t>Reason Documented By: Treating doctor.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MOM.7.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Monitoring Finding</w:t>
            </w:r>
          </w:p>
        </w:tc>
        <w:tc>
          <w:tcPr>
            <w:tcW w:type="dxa" w:w="1728"/>
          </w:tcPr>
          <w:p>
            <w:r>
              <w:t>Change Made</w:t>
            </w:r>
          </w:p>
        </w:tc>
        <w:tc>
          <w:tcPr>
            <w:tcW w:type="dxa" w:w="1728"/>
          </w:tcPr>
          <w:p>
            <w:r>
              <w:t>Reason Documented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12-May-2026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Harish Chandra / UID-00797</w:t>
            </w:r>
          </w:p>
        </w:tc>
        <w:tc>
          <w:tcPr>
            <w:tcW w:type="dxa" w:w="1728"/>
            <w:shd w:val="clear" w:color="auto" w:fill="FFF2CC"/>
          </w:tcPr>
          <w:p>
            <w:r>
              <w:t>Inadequate response to Ceftriaxone after 48 hours</w:t>
            </w:r>
          </w:p>
        </w:tc>
        <w:tc>
          <w:tcPr>
            <w:tcW w:type="dxa" w:w="1728"/>
            <w:shd w:val="clear" w:color="auto" w:fill="FFF2CC"/>
          </w:tcPr>
          <w:p>
            <w:r>
              <w:t>Switched to Piperacillin-Tazobactam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Nambiar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