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MOM.8.c — Narcotic drugs and psychotropic substances, chemotherapeutic agents and radioactive agents are stored securely.</w:t>
      </w:r>
    </w:p>
    <w:p>
      <w:r>
        <w:t>MOM.8 Record 03 — Shift-change register reconciliation (narcotics/psychotropics)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This record is the proof the double-locked narcotics cupboard register is actually reconciled at every shift change -- not checked only when something feels wrong.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The outgoing and incoming duty pharmacists jointly count the narcotics cupboard stock at shift change and sign off that the count matches the register.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A narcotics cupboard with one key and no reconciliation schedule is not secure storage -- it is a cupboard that happens to be locked.</w:t>
            </w:r>
          </w:p>
        </w:tc>
      </w:tr>
    </w:tbl>
    <w:p/>
    <w:p>
      <w:r>
        <w:t>How to fill this in — column by column</w:t>
      </w:r>
    </w:p>
    <w:p>
      <w:r>
        <w:t>Shift Date/Time: When the reconciliation happened.</w:t>
      </w:r>
    </w:p>
    <w:p>
      <w:r>
        <w:t>Outgoing Pharmacist: Name.</w:t>
      </w:r>
    </w:p>
    <w:p>
      <w:r>
        <w:t>Incoming Pharmacist: Name.</w:t>
      </w:r>
    </w:p>
    <w:p>
      <w:r>
        <w:t>Count Matches Register (Y/N): Result.</w:t>
      </w:r>
    </w:p>
    <w:p>
      <w:r>
        <w:t>Discrepancy / Action (if any): What was found and done.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Management of Medication chapter, standard MOM.8.</w:t>
      </w:r>
    </w:p>
    <w:p>
      <w:pPr>
        <w:pStyle w:val="ListParagraph"/>
      </w:pPr>
      <w:r>
        <w:t xml:space="preserve">• </w:t>
      </w:r>
      <w:r>
        <w:t xml:space="preserve">Government of India. (1985). </w:t>
      </w:r>
      <w:hyperlink r:id="rId10">
        <w:r>
          <w:rPr>
            <w:color w:val="0563C1"/>
            <w:u w:val="single"/>
          </w:rPr>
          <w:t>The Narcotic Drugs and Psychotropic Substances Act, 1985</w:t>
        </w:r>
      </w:hyperlink>
      <w:r>
        <w:t xml:space="preserve"> (Act No. 61 of 1985) — governs authorisation to prescribe, secure storage, register-keeping and disposal of narcotic drugs and psychotropic substances.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Shift Date/Time</w:t>
            </w:r>
          </w:p>
        </w:tc>
        <w:tc>
          <w:tcPr>
            <w:tcW w:type="dxa" w:w="1728"/>
          </w:tcPr>
          <w:p>
            <w:r>
              <w:t>Outgoing Pharmacist</w:t>
            </w:r>
          </w:p>
        </w:tc>
        <w:tc>
          <w:tcPr>
            <w:tcW w:type="dxa" w:w="1728"/>
          </w:tcPr>
          <w:p>
            <w:r>
              <w:t>Incoming Pharmacist</w:t>
            </w:r>
          </w:p>
        </w:tc>
        <w:tc>
          <w:tcPr>
            <w:tcW w:type="dxa" w:w="1728"/>
          </w:tcPr>
          <w:p>
            <w:r>
              <w:t>Count Matches Register (Y/N)</w:t>
            </w:r>
          </w:p>
        </w:tc>
        <w:tc>
          <w:tcPr>
            <w:tcW w:type="dxa" w:w="1728"/>
          </w:tcPr>
          <w:p>
            <w:r>
              <w:t>Discrepancy / Action (if any)</w:t>
            </w:r>
          </w:p>
        </w:tc>
      </w:tr>
      <w:t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c>
          <w:tcPr>
            <w:tcW w:type="dxa" w:w="1728"/>
            <w:shd w:val="clear" w:color="auto" w:fill="FFF2CC"/>
          </w:tcPr>
          <w:p>
            <w:r>
              <w:t>WORKED EXAMPLE — 20-May-2026, 8:00 PM</w:t>
            </w:r>
          </w:p>
        </w:tc>
        <w:tc>
          <w:tcPr>
            <w:tcW w:type="dxa" w:w="1728"/>
            <w:shd w:val="clear" w:color="auto" w:fill="FFF2CC"/>
          </w:tcPr>
          <w:p>
            <w:r>
              <w:t>Pharmacist D. Souza</w:t>
            </w:r>
          </w:p>
        </w:tc>
        <w:tc>
          <w:tcPr>
            <w:tcW w:type="dxa" w:w="1728"/>
            <w:shd w:val="clear" w:color="auto" w:fill="FFF2CC"/>
          </w:tcPr>
          <w:p>
            <w:r>
              <w:t>Pharmacist N. Pillai</w:t>
            </w:r>
          </w:p>
        </w:tc>
        <w:tc>
          <w:tcPr>
            <w:tcW w:type="dxa" w:w="1728"/>
            <w:shd w:val="clear" w:color="auto" w:fill="FFF2CC"/>
          </w:tcPr>
          <w:p>
            <w:r>
              <w:t>Y</w:t>
            </w:r>
          </w:p>
        </w:tc>
        <w:tc>
          <w:tcPr>
            <w:tcW w:type="dxa" w:w="1728"/>
            <w:shd w:val="clear" w:color="auto" w:fill="FFF2CC"/>
          </w:tcPr>
          <w:p>
            <w:r>
              <w:t>None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Relationship Id="rId10" Type="http://schemas.openxmlformats.org/officeDocument/2006/relationships/hyperlink" Target="https://www.indiacode.nic.in/bitstream/123456789/1791/5/a1985-61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