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MOM.9.a — Written guidance addresses procurement and usage of implantable prostheses.</w:t>
      </w:r>
    </w:p>
    <w:p>
      <w:r>
        <w:t>MOM.9 Record 01 — Implant procurement and goods-receipt register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every implant was actually procured from the approved-supplier list and verified on receipt for batch, serial, expiry and packaging -- not accepted from whoever offered the best price that week.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hip implant is procured from an approved supplier; on receipt the Pharmacy In-Charge verifies the batch number, serial number, and packaging integrity before it enters the implant register.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An implant bought from an unverified supplier with no licence check is a risk placed permanently inside a patient, with no way to later ask the question that should have been asked before procurement.</w:t>
            </w:r>
          </w:p>
        </w:tc>
      </w:tr>
    </w:tbl>
    <w:p/>
    <w:p>
      <w:r>
        <w:t>How to fill this in — column by column</w:t>
      </w:r>
    </w:p>
    <w:p>
      <w:r>
        <w:t>Date: Date of receipt.</w:t>
      </w:r>
    </w:p>
    <w:p>
      <w:r>
        <w:t>Implant/Device: What was received.</w:t>
      </w:r>
    </w:p>
    <w:p>
      <w:r>
        <w:t>Supplier: Approved supplier name.</w:t>
      </w:r>
    </w:p>
    <w:p>
      <w:r>
        <w:t>Batch / Serial Number: As received.</w:t>
      </w:r>
    </w:p>
    <w:p>
      <w:r>
        <w:t>Verified By: Pharmacy In-Charge.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MOM.9.</w:t>
      </w:r>
    </w:p>
    <w:p>
      <w:pPr>
        <w:pStyle w:val="ListParagraph"/>
      </w:pPr>
      <w:r>
        <w:t xml:space="preserve">• </w:t>
      </w:r>
      <w:r>
        <w:t xml:space="preserve">Government of India, Ministry of Health and Family Welfare. (2017). </w:t>
      </w:r>
      <w:hyperlink r:id="rId10">
        <w:r>
          <w:rPr>
            <w:color w:val="0563C1"/>
            <w:u w:val="single"/>
          </w:rPr>
          <w:t>The Medical Devices Rules, 2017</w:t>
        </w:r>
      </w:hyperlink>
      <w:r>
        <w:t>.pdf) — governs licensing of medical-device suppliers, procurement, traceability and adverse-event reporting for implantable devices.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Implant/Device</w:t>
            </w:r>
          </w:p>
        </w:tc>
        <w:tc>
          <w:tcPr>
            <w:tcW w:type="dxa" w:w="1728"/>
          </w:tcPr>
          <w:p>
            <w:r>
              <w:t>Supplier</w:t>
            </w:r>
          </w:p>
        </w:tc>
        <w:tc>
          <w:tcPr>
            <w:tcW w:type="dxa" w:w="1728"/>
          </w:tcPr>
          <w:p>
            <w:r>
              <w:t>Batch / Serial Number</w:t>
            </w:r>
          </w:p>
        </w:tc>
        <w:tc>
          <w:tcPr>
            <w:tcW w:type="dxa" w:w="1728"/>
          </w:tcPr>
          <w:p>
            <w:r>
              <w:t>Verified By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28-May-2026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Titanium hip prosthesis</w:t>
            </w:r>
          </w:p>
        </w:tc>
        <w:tc>
          <w:tcPr>
            <w:tcW w:type="dxa" w:w="1728"/>
            <w:shd w:val="clear" w:color="auto" w:fill="FFF2CC"/>
          </w:tcPr>
          <w:p>
            <w:r>
              <w:t>ABC Medical Devices Pvt. Ltd.</w:t>
            </w:r>
          </w:p>
        </w:tc>
        <w:tc>
          <w:tcPr>
            <w:tcW w:type="dxa" w:w="1728"/>
            <w:shd w:val="clear" w:color="auto" w:fill="FFF2CC"/>
          </w:tcPr>
          <w:p>
            <w:r>
              <w:t>Batch TH-2026-114 / Serial SN-88213</w:t>
            </w:r>
          </w:p>
        </w:tc>
        <w:tc>
          <w:tcPr>
            <w:tcW w:type="dxa" w:w="1728"/>
            <w:shd w:val="clear" w:color="auto" w:fill="FFF2CC"/>
          </w:tcPr>
          <w:p>
            <w:r>
              <w:t>Pharmacy In-Charge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cdsco.gov.in/opencms/resources/UploadCDSCOWeb/2022/m_device/mdr,%202017%20(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