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Preventive and Promotive Health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HCO/AAC/POL/11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pStyle w:val="Heading1"/>
      </w:pPr>
      <w:r>
        <w:t>Statement of intent</w:t>
      </w:r>
    </w:p>
    <w:p>
      <w:pPr/>
      <w:r>
        <w:t>«Hospital Name» provides preventive and promotive health services within its scope of services: written guidance for preventive and promotive care, age-appropriate screening for non-communicable diseases, mental health screening, immunisation, and multi-disciplinary health education on lifestyle modifications.</w:t>
      </w:r>
    </w:p>
    <w:p>
      <w:pPr>
        <w:pStyle w:val="Heading1"/>
      </w:pPr>
      <w:r>
        <w:t>1. Purpose</w:t>
      </w:r>
    </w:p>
    <w:p>
      <w:pPr/>
      <w:r>
        <w:t>This policy explains how «Hospital Name» provides preventive and promotive health services within its defined scope: written guidance governing implementation, non-communicable disease screening, mental health screening, paediatric and adult immunisation, and multi-disciplinary lifestyle health education.</w:t>
      </w:r>
    </w:p>
    <w:p>
      <w:pPr/>
      <w:r>
        <w:t>A hospital that does not offer a particular preventive or promotive service — such as community outreach, a specific immunisation, or a specific screening type — does not claim that service; the written guidance under Section 5.1 names what is in scope.</w:t>
      </w:r>
    </w:p>
    <w:p>
      <w:pPr>
        <w:pStyle w:val="Heading1"/>
      </w:pPr>
      <w:r>
        <w:t>2. Scope</w:t>
      </w:r>
    </w:p>
    <w:p>
      <w:pPr/>
      <w:r>
        <w:t>This policy applies to treating doctors, nurses, and any other clinical staff involved in delivering preventive and promotive health services within the scope of services defined by «Hospital Name».</w:t>
      </w:r>
    </w:p>
    <w:p>
      <w:pPr>
        <w:pStyle w:val="Heading1"/>
      </w:pPr>
      <w:r>
        <w:t>3. Policy standards</w:t>
      </w:r>
    </w:p>
    <w:p>
      <w:pPr/>
      <w:r>
        <w:t>Written guidance governs the implementation of preventive and promotive care as per «Hospital Name»'s scope of services. The organisation defines evidence-based, age-appropriate screening for non-communicable diseases and advises mental health screening and appropriate intervention wherever applicable.</w:t>
      </w:r>
    </w:p>
    <w:p>
      <w:pPr/>
      <w:r>
        <w:t>Evidence-based paediatric and adult immunisation is advised wherever applicable, and a multi-disciplinary approach is adopted in imparting health education on lifestyle modifications.</w:t>
      </w:r>
    </w:p>
    <w:p>
      <w:pPr>
        <w:pStyle w:val="Heading1"/>
      </w:pPr>
      <w:r>
        <w:t>4. Non-negotiable rules</w:t>
      </w:r>
    </w:p>
    <w:p>
      <w:pPr>
        <w:pStyle w:val="ListBullet"/>
      </w:pPr>
      <w:r>
        <w:t>Do not deliver preventive or promotive care without written guidance defining what is in scope, who delivers it, and how it is documented.</w:t>
      </w:r>
    </w:p>
    <w:p>
      <w:pPr>
        <w:pStyle w:val="ListBullet"/>
      </w:pPr>
      <w:r>
        <w:t>Do not claim or promise a preventive or promotive service that falls outside «Hospital Name»'s defined scope of services.</w:t>
      </w:r>
    </w:p>
    <w:p>
      <w:pPr>
        <w:pStyle w:val="ListBullet"/>
      </w:pPr>
      <w:r>
        <w:t>Do not advise non-communicable disease screening that is not evidence-based or age-appropriate.</w:t>
      </w:r>
    </w:p>
    <w:p>
      <w:pPr>
        <w:pStyle w:val="ListBullet"/>
      </w:pPr>
      <w:r>
        <w:t>Do not adhere to paediatric immunisation outside the Universal Immunisation Programme without a documented evidence-based reason.</w:t>
      </w:r>
    </w:p>
    <w:p>
      <w:pPr>
        <w:pStyle w:val="Heading1"/>
      </w:pPr>
      <w:r>
        <w:t>5. What we do</w:t>
      </w:r>
    </w:p>
    <w:p>
      <w:pPr>
        <w:pStyle w:val="Heading2"/>
      </w:pPr>
      <w:r>
        <w:t>5.1 Maintain written guidance for preventive and promotive care</w:t>
      </w:r>
    </w:p>
    <w:p>
      <w:pPr/>
      <w:r>
        <w:t>Written guidance governs the implementation of preventive and promotive care as per «Hospital Name»'s scope of services. Preventive care focuses on measures to prevent the onset of diseases or health conditions — for example immunisation, health screening, health education and lifestyle counselling, based on age, gender and medical history. Promotive care involves efforts to promote overall health and well-being — for example healthy diet, regular exercise, stress management, mental health support, and patient and family education. The guidance names which preventive and promotive services are in scope, who delivers them, and how they are documented. Services outside scope are not promised or claimed.</w:t>
      </w:r>
    </w:p>
    <w:p>
      <w:pPr>
        <w:pStyle w:val="Heading2"/>
      </w:pPr>
      <w:r>
        <w:t>5.2 Screen for non-communicable diseases</w:t>
      </w:r>
    </w:p>
    <w:p>
      <w:pPr/>
      <w:r>
        <w:t>The organisation defines evidence-based and contextual age-appropriate screening for non-communicable diseases — for example screening for various cancers, diabetes and osteoporosis. Frequency of screening increases when predisposing factors apply. Treating doctors document the screening advised, accepted or declined, and its basis (age, risk factors, guidance reference).</w:t>
      </w:r>
    </w:p>
    <w:p>
      <w:pPr>
        <w:pStyle w:val="Heading2"/>
      </w:pPr>
      <w:r>
        <w:t>5.3 Advise mental health screening</w:t>
      </w:r>
    </w:p>
    <w:p>
      <w:pPr/>
      <w:r>
        <w:t>Mental health screening and appropriate intervention are advised for patients wherever applicable, using validated tools where available. A positive screen leads to documented advice, referral or intervention appropriate to the finding and to the hospital's scope.</w:t>
      </w:r>
    </w:p>
    <w:p>
      <w:pPr>
        <w:pStyle w:val="Heading2"/>
      </w:pPr>
      <w:r>
        <w:t>5.4 Advise immunisation</w:t>
      </w:r>
    </w:p>
    <w:p>
      <w:pPr/>
      <w:r>
        <w:t>Evidence-based and contextual paediatric and adult immunisation is advised wherever applicable. The Universal Immunisation Programme is adhered to for all neonates and paediatric patients, including catch-up immunisation. Adult immunisation, where offered, follows evidence-based guidelines. Advice, administration and refusals are recorded in the patient record or immunisation register.</w:t>
      </w:r>
    </w:p>
    <w:p>
      <w:pPr>
        <w:pStyle w:val="Heading2"/>
      </w:pPr>
      <w:r>
        <w:t>5.5 Deliver multi-disciplinary lifestyle health education</w:t>
      </w:r>
    </w:p>
    <w:p>
      <w:pPr/>
      <w:r>
        <w:t>A multi-disciplinary approach is adopted in imparting health education on lifestyle modifications, with contributors including the clinician, nurse, dietician, physiotherapist, occupational therapist, psychologist and medico-social worker where those roles exist. Family members are also educated towards cessation of tobacco, alcohol and substance abuse where relevant. Education given and disciplines involved are recorded.</w:t>
      </w:r>
    </w:p>
    <w:p>
      <w:pPr>
        <w:pStyle w:val="Heading1"/>
      </w:pPr>
      <w:r>
        <w:t>6. Stop-work authority</w:t>
      </w:r>
    </w:p>
    <w:p>
      <w:pPr/>
      <w:r>
        <w:t>Not applicable. This standard has no stop-work authority. Gaps in preventive or promotive care delivery are addressed through the hospital's quality monitoring and CAPA process (Section 8), not through an immediate stop-work trigger.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defining the scope of preventive and promotive services and ensuring written guidance exists.</w:t>
            </w:r>
          </w:p>
        </w:tc>
      </w:tr>
      <w:tr>
        <w:tc>
          <w:tcPr>
            <w:tcW w:type="dxa" w:w="4320"/>
          </w:tcPr>
          <w:p>
            <w:r>
              <w:t>Treating Doctor</w:t>
            </w:r>
          </w:p>
        </w:tc>
        <w:tc>
          <w:tcPr>
            <w:tcW w:type="dxa" w:w="4320"/>
          </w:tcPr>
          <w:p>
            <w:r>
              <w:t>Advises and documents NCD screening, mental health screening, and immunisation as applicable to each patient.</w:t>
            </w:r>
          </w:p>
        </w:tc>
      </w:tr>
      <w:tr>
        <w:tc>
          <w:tcPr>
            <w:tcW w:type="dxa" w:w="4320"/>
          </w:tcPr>
          <w:p>
            <w:r>
              <w:t>Nursing Superintendent</w:t>
            </w:r>
          </w:p>
        </w:tc>
        <w:tc>
          <w:tcPr>
            <w:tcW w:type="dxa" w:w="4320"/>
          </w:tcPr>
          <w:p>
            <w:r>
              <w:t>Supports delivery of preventive and promotive care in nursing practice; maintains immunisation records.</w:t>
            </w:r>
          </w:p>
        </w:tc>
      </w:tr>
      <w:tr>
        <w:tc>
          <w:tcPr>
            <w:tcW w:type="dxa" w:w="4320"/>
          </w:tcPr>
          <w:p>
            <w:r>
              <w:t>Quality Coordinator</w:t>
            </w:r>
          </w:p>
        </w:tc>
        <w:tc>
          <w:tcPr>
            <w:tcW w:type="dxa" w:w="4320"/>
          </w:tcPr>
          <w:p>
            <w:r>
              <w:t>Audits this policy; holds written guidance, screening, and education records.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Current written guidance for preventive and promotive care aligned to scope; periodic audit confirming practice matches guidance.</w:t>
            </w:r>
          </w:p>
        </w:tc>
      </w:tr>
      <w:tr>
        <w:tc>
          <w:tcPr>
            <w:tcW w:type="dxa" w:w="4320"/>
          </w:tcPr>
          <w:p>
            <w:r>
              <w:t>NCD screening</w:t>
            </w:r>
          </w:p>
        </w:tc>
        <w:tc>
          <w:tcPr>
            <w:tcW w:type="dxa" w:w="4320"/>
          </w:tcPr>
          <w:p>
            <w:r>
              <w:t>Defined NCD screening list; patient record entries of screening advised, accepted or declined.</w:t>
            </w:r>
          </w:p>
        </w:tc>
      </w:tr>
      <w:tr>
        <w:tc>
          <w:tcPr>
            <w:tcW w:type="dxa" w:w="4320"/>
          </w:tcPr>
          <w:p>
            <w:r>
              <w:t>Mental health screening</w:t>
            </w:r>
          </w:p>
        </w:tc>
        <w:tc>
          <w:tcPr>
            <w:tcW w:type="dxa" w:w="4320"/>
          </w:tcPr>
          <w:p>
            <w:r>
              <w:t>Documented use of validated screening tools; records of intervention, advice or referral after a positive screen.</w:t>
            </w:r>
          </w:p>
        </w:tc>
      </w:tr>
      <w:tr>
        <w:tc>
          <w:tcPr>
            <w:tcW w:type="dxa" w:w="4320"/>
          </w:tcPr>
          <w:p>
            <w:r>
              <w:t>Immunisation</w:t>
            </w:r>
          </w:p>
        </w:tc>
        <w:tc>
          <w:tcPr>
            <w:tcW w:type="dxa" w:w="4320"/>
          </w:tcPr>
          <w:p>
            <w:r>
              <w:t>Paediatric immunisation records aligned to UIP including catch-up; adult immunisation records where offered.</w:t>
            </w:r>
          </w:p>
        </w:tc>
      </w:tr>
      <w:tr>
        <w:tc>
          <w:tcPr>
            <w:tcW w:type="dxa" w:w="4320"/>
          </w:tcPr>
          <w:p>
            <w:r>
              <w:t>Lifestyle education</w:t>
            </w:r>
          </w:p>
        </w:tc>
        <w:tc>
          <w:tcPr>
            <w:tcW w:type="dxa" w:w="4320"/>
          </w:tcPr>
          <w:p>
            <w:r>
              <w:t>Patient education records naming disciplines involved; periodic sample showing multi-disciplinary input where available.</w:t>
            </w:r>
          </w:p>
        </w:tc>
      </w:tr>
    </w:tbl>
    <w:p>
      <w:r>
        <w:t>This policy is reviewed annually, or sooner if NABH standards change.</w:t>
      </w:r>
    </w:p>
    <w:p>
      <w:pPr>
        <w:pStyle w:val="Heading1"/>
      </w:pPr>
      <w:r>
        <w:t>9. Training and staff acknowledgement</w:t>
      </w:r>
    </w:p>
    <w:p>
      <w:pPr/>
      <w:r>
        <w:t>All treating doctors, nurses and clinical staff involved in preventive and promotive care shall be trained on the written guidance, screening protocols, and immunisation requirements in this policy, at induction and periodically.</w:t>
      </w:r>
    </w:p>
    <w:p>
      <w:pPr/>
      <w:r>
        <w:t>I have read the Policy on Preventive and Promotive Health Services of «Hospital Name». I will follow the processes described.</w:t>
      </w:r>
    </w:p>
    <w:p>
      <w:pPr>
        <w:pStyle w:val="Heading1"/>
      </w:pPr>
      <w:r>
        <w:t>10. Distribution</w:t>
      </w:r>
    </w:p>
    <w:p>
      <w:pPr/>
      <w:r>
        <w:t>This policy shall be available to all clinical staff,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NABH</w:t>
            </w:r>
          </w:p>
        </w:tc>
        <w:tc>
          <w:tcPr>
            <w:tcW w:type="dxa" w:w="4320"/>
          </w:tcPr>
          <w:p>
            <w:r>
              <w:t>National Accreditation Board for Hospitals and Healthcare Providers</w:t>
            </w:r>
          </w:p>
        </w:tc>
      </w:tr>
      <w:tr>
        <w:tc>
          <w:tcPr>
            <w:tcW w:type="dxa" w:w="4320"/>
          </w:tcPr>
          <w:p>
            <w:r>
              <w:t>NCD</w:t>
            </w:r>
          </w:p>
        </w:tc>
        <w:tc>
          <w:tcPr>
            <w:tcW w:type="dxa" w:w="4320"/>
          </w:tcPr>
          <w:p>
            <w:r>
              <w:t>Non-Communicable Disease</w:t>
            </w:r>
          </w:p>
        </w:tc>
      </w:tr>
      <w:tr>
        <w:tc>
          <w:tcPr>
            <w:tcW w:type="dxa" w:w="4320"/>
          </w:tcPr>
          <w:p>
            <w:r>
              <w:t>UIP</w:t>
            </w:r>
          </w:p>
        </w:tc>
        <w:tc>
          <w:tcPr>
            <w:tcW w:type="dxa" w:w="4320"/>
          </w:tcPr>
          <w:p>
            <w:r>
              <w:t>Universal Immunisation Programme</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AAC.11.a</w:t>
            </w:r>
          </w:p>
        </w:tc>
        <w:tc>
          <w:tcPr>
            <w:tcW w:type="dxa" w:w="2880"/>
          </w:tcPr>
          <w:p>
            <w:r>
              <w:t>Commitment*</w:t>
            </w:r>
          </w:p>
        </w:tc>
        <w:tc>
          <w:tcPr>
            <w:tcW w:type="dxa" w:w="2880"/>
          </w:tcPr>
          <w:p>
            <w:r>
              <w:t>Sections 3 and 5.1 address written guidance for preventive and promotive care as per scope.</w:t>
            </w:r>
          </w:p>
        </w:tc>
      </w:tr>
      <w:tr>
        <w:tc>
          <w:tcPr>
            <w:tcW w:type="dxa" w:w="2880"/>
          </w:tcPr>
          <w:p>
            <w:r>
              <w:t>AAC.11.b</w:t>
            </w:r>
          </w:p>
        </w:tc>
        <w:tc>
          <w:tcPr>
            <w:tcW w:type="dxa" w:w="2880"/>
          </w:tcPr>
          <w:p>
            <w:r>
              <w:t>Commitment</w:t>
            </w:r>
          </w:p>
        </w:tc>
        <w:tc>
          <w:tcPr>
            <w:tcW w:type="dxa" w:w="2880"/>
          </w:tcPr>
          <w:p>
            <w:r>
              <w:t>Sections 3 and 5.2 address age-appropriate non-communicable disease screening.</w:t>
            </w:r>
          </w:p>
        </w:tc>
      </w:tr>
      <w:tr>
        <w:tc>
          <w:tcPr>
            <w:tcW w:type="dxa" w:w="2880"/>
          </w:tcPr>
          <w:p>
            <w:r>
              <w:t>AAC.11.c</w:t>
            </w:r>
          </w:p>
        </w:tc>
        <w:tc>
          <w:tcPr>
            <w:tcW w:type="dxa" w:w="2880"/>
          </w:tcPr>
          <w:p>
            <w:r>
              <w:t>Commitment</w:t>
            </w:r>
          </w:p>
        </w:tc>
        <w:tc>
          <w:tcPr>
            <w:tcW w:type="dxa" w:w="2880"/>
          </w:tcPr>
          <w:p>
            <w:r>
              <w:t>Sections 3 and 5.3 address mental health screening and intervention.</w:t>
            </w:r>
          </w:p>
        </w:tc>
      </w:tr>
      <w:tr>
        <w:tc>
          <w:tcPr>
            <w:tcW w:type="dxa" w:w="2880"/>
          </w:tcPr>
          <w:p>
            <w:r>
              <w:t>AAC.11.d</w:t>
            </w:r>
          </w:p>
        </w:tc>
        <w:tc>
          <w:tcPr>
            <w:tcW w:type="dxa" w:w="2880"/>
          </w:tcPr>
          <w:p>
            <w:r>
              <w:t>Commitment</w:t>
            </w:r>
          </w:p>
        </w:tc>
        <w:tc>
          <w:tcPr>
            <w:tcW w:type="dxa" w:w="2880"/>
          </w:tcPr>
          <w:p>
            <w:r>
              <w:t>Sections 3 and 5.4 address paediatric and adult immunisation.</w:t>
            </w:r>
          </w:p>
        </w:tc>
      </w:tr>
      <w:tr>
        <w:tc>
          <w:tcPr>
            <w:tcW w:type="dxa" w:w="2880"/>
          </w:tcPr>
          <w:p>
            <w:r>
              <w:t>AAC.11.e</w:t>
            </w:r>
          </w:p>
        </w:tc>
        <w:tc>
          <w:tcPr>
            <w:tcW w:type="dxa" w:w="2880"/>
          </w:tcPr>
          <w:p>
            <w:r>
              <w:t>Commitment</w:t>
            </w:r>
          </w:p>
        </w:tc>
        <w:tc>
          <w:tcPr>
            <w:tcW w:type="dxa" w:w="2880"/>
          </w:tcPr>
          <w:p>
            <w:r>
              <w:t>Sections 3 and 5.5 address multi-disciplinary lifestyle health education.</w:t>
            </w:r>
          </w:p>
        </w:tc>
      </w:tr>
    </w:tbl>
    <w:p>
      <w:pPr>
        <w:pStyle w:val="Heading1"/>
      </w:pPr>
      <w:r>
        <w:t>13. Required records/evidence checklist</w:t>
      </w:r>
    </w:p>
    <w:p>
      <w:pPr>
        <w:pStyle w:val="Heading2"/>
      </w:pPr>
      <w:r>
        <w:t>Written guidance — AAC.11.a (Commitment*)</w:t>
      </w:r>
    </w:p>
    <w:p>
      <w:pPr>
        <w:pStyle w:val="ListBullet"/>
      </w:pPr>
      <w:r>
        <w:t>Current written guidance for preventive and promotive care aligned to scope, with version and issue date.</w:t>
      </w:r>
    </w:p>
    <w:p>
      <w:pPr>
        <w:pStyle w:val="Heading2"/>
      </w:pPr>
      <w:r>
        <w:t>NCD screening — AAC.11.b (Commitment)</w:t>
      </w:r>
    </w:p>
    <w:p>
      <w:pPr>
        <w:pStyle w:val="ListBullet"/>
      </w:pPr>
      <w:r>
        <w:t>Defined NCD screening list with age and risk-context criteria.</w:t>
      </w:r>
    </w:p>
    <w:p>
      <w:pPr>
        <w:pStyle w:val="ListBullet"/>
      </w:pPr>
      <w:r>
        <w:t>Patient record entries of screening advised, accepted or declined.</w:t>
      </w:r>
    </w:p>
    <w:p>
      <w:pPr>
        <w:pStyle w:val="Heading2"/>
      </w:pPr>
      <w:r>
        <w:t>Mental health screening — AAC.11.c (Commitment)</w:t>
      </w:r>
    </w:p>
    <w:p>
      <w:pPr>
        <w:pStyle w:val="ListBullet"/>
      </w:pPr>
      <w:r>
        <w:t>Documented use of validated screening tools where applicable.</w:t>
      </w:r>
    </w:p>
    <w:p>
      <w:pPr>
        <w:pStyle w:val="ListBullet"/>
      </w:pPr>
      <w:r>
        <w:t>Records of intervention, advice or referral after a positive screen.</w:t>
      </w:r>
    </w:p>
    <w:p>
      <w:pPr>
        <w:pStyle w:val="Heading2"/>
      </w:pPr>
      <w:r>
        <w:t>Immunisation — AAC.11.d (Commitment)</w:t>
      </w:r>
    </w:p>
    <w:p>
      <w:pPr>
        <w:pStyle w:val="ListBullet"/>
      </w:pPr>
      <w:r>
        <w:t>Paediatric immunisation records aligned to UIP including catch-up.</w:t>
      </w:r>
    </w:p>
    <w:p>
      <w:pPr>
        <w:pStyle w:val="ListBullet"/>
      </w:pPr>
      <w:r>
        <w:t>Adult immunisation advice or administration records where offered.</w:t>
      </w:r>
    </w:p>
    <w:p>
      <w:pPr>
        <w:pStyle w:val="ListBullet"/>
      </w:pPr>
      <w:r>
        <w:t>Immunisation register or patient-file entries.</w:t>
      </w:r>
    </w:p>
    <w:p>
      <w:pPr>
        <w:pStyle w:val="Heading2"/>
      </w:pPr>
      <w:r>
        <w:t>Lifestyle health education — AAC.11.e (Commitment)</w:t>
      </w:r>
    </w:p>
    <w:p>
      <w:pPr>
        <w:pStyle w:val="ListBullet"/>
      </w:pPr>
      <w:r>
        <w:t>Patient education record naming disciplines involved.</w:t>
      </w:r>
    </w:p>
    <w:p>
      <w:pPr>
        <w:pStyle w:val="ListBullet"/>
      </w:pPr>
      <w:r>
        <w:t>Documentation of diet, exercise, ADL, pain or substance-cessation education where given.</w:t>
      </w:r>
    </w:p>
    <w:p>
      <w:pPr>
        <w:pStyle w:val="Heading1"/>
      </w:pPr>
      <w:r>
        <w:t>14. References</w:t>
      </w:r>
    </w:p>
    <w:p>
      <w:pPr>
        <w:pStyle w:val="ListNumber"/>
      </w:pPr>
      <w:r>
        <w:t>National Accreditation Board for Hospitals and Healthcare Providers. NABH Accreditation Standards for Hospitals, 6th Edition. AAC.11.</w:t>
      </w:r>
    </w:p>
    <w:p>
      <w:pPr>
        <w:pStyle w:val="ListNumber"/>
      </w:pPr>
      <w:r>
        <w:t xml:space="preserve">Ministry of Health and Family Welfare, Government of India. (n.d.). </w:t>
      </w:r>
      <w:hyperlink r:id="rId9">
        <w:r>
          <w:rPr>
            <w:color w:val="0563C1"/>
            <w:u w:val="single"/>
          </w:rPr>
          <w:t>https://www.nhp.gov.in/universal-immunisation-programme_pg</w:t>
        </w:r>
      </w:hyperlink>
      <w:r>
        <w:t xml:space="preserve"> Universal Immunisation Programme, as adopted for paediatric immunisation guidance.</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This policy references the Universal Immunisation Programme as the programme method for paediatric immunisation guidance; it is not a statement of, or substitute for, compliance with any statute. «Hospital Name» remains separately responsible for meeting all applicable statutory and regulatory requirements.</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hp.gov.in/universal-immunisation-programme_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