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Internal Referral Between Departments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AAC.10.f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refers a patient to another department or speciality within the organisation, for opinion, co-management, or takeover.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internal referral between departments or specialities.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Referring Doctor: </w:t>
      </w:r>
      <w:r>
        <w:t xml:space="preserve">states the reason and urgency grade clearly.</w:t>
      </w:r>
    </w:p>
    <w:p>
      <w:pPr>
        <w:spacing w:after="100"/>
      </w:pPr>
      <w:r>
        <w:rPr>
          <w:b/>
          <w:bCs/>
        </w:rPr>
        <w:t xml:space="preserve">Receiving Department: </w:t>
      </w:r>
      <w:r>
        <w:t xml:space="preserve">responds within the timeframe defined for that urgency grade.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State the reason for referral clearly — opinion, co-management, or takeover — in the referral note.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Grade the urgency of the referral using the hospital's urgency grades and their response timeframes. [Hospital to define the exact grades and timeframes; a working starting point, consistent with the example already in Record 11, is: Emergency — immediate, same-hour response; Urgent — within 2 hours; Routine — within 24 hours.]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The receiving department responds within the timeframe for the grade assigned, and logs the actual response time in the Internal Referral Note &amp; Response-Time Log (Record 11).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Only a department or specialist named in the written referral guidance (Record 10) as able to accept that type of referral may take it on.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If the receiving department cannot respond within the graded timeframe, it informs the referring doctor immediately and escalates per the hospital's usual escalation chain — do not let a referral simply go unanswered past its deadline.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10–11 of the AAC.10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Continuous and Multi-Disciplinary Patient Care (HCO/AAC/POL/10) — AAC.10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2026-09-14T11:15:48.880Z</dcterms:created>
  <dcterms:modified xsi:type="dcterms:W3CDTF">2026-09-14T11:15:48.880Z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