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Patient Discharge Planning, Coordination and Summary Issuance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AAC.12.a, AAC.12.b, AAC.12.d, AAC.12.e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plans discharge with the patient and family, coordinates it across departments including medico-legal and absconded cases, and issues a discharge or death summary to every patient who leaves.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treating doctors, nursing staff, accounts, and every department involved in a patient's discharge.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determines discharge readiness and discusses the plan with the patient and family.</w:t>
      </w:r>
    </w:p>
    <w:p>
      <w:pPr>
        <w:spacing w:after="100"/>
      </w:pPr>
      <w:r>
        <w:rPr>
          <w:b/>
          <w:bCs/>
        </w:rPr>
        <w:t xml:space="preserve">Accounts / Nursing / Other Departments: </w:t>
      </w:r>
      <w:r>
        <w:t xml:space="preserve">coordinate so discharge papers are completed within time.</w:t>
      </w:r>
    </w:p>
    <w:p>
      <w:pPr>
        <w:spacing w:after="100"/>
      </w:pPr>
      <w:r>
        <w:rPr>
          <w:b/>
          <w:bCs/>
        </w:rPr>
        <w:t xml:space="preserve">Medical Superintendent: </w:t>
      </w:r>
      <w:r>
        <w:t xml:space="preserve">is informed of every absconded case.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Planning discharge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treating doctor determines discharge readiness during regular reassessment.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Discuss the discharge plan with the patient and/or family, and document the discussion.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planned cases, note the expected discharge date at least 24 hours in advance, and prepare the draft summary and any special-needs arrangements ahead of time.</w:t>
      </w:r>
    </w:p>
    <w:p>
      <w:pPr>
        <w:pStyle w:val="Heading2"/>
        <w:spacing w:after="100" w:before="250"/>
      </w:pPr>
      <w:r>
        <w:t xml:space="preserve">4.2 Coordinating discharge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Coordinate with every department involved — including accounts — so discharge papers are completed within time.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a medico-legal case, inform the police per the hospital's coordination discipline, and document the intimation.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an absconded case, follow the hospital's coordination discipline — ward search, security notification, and escalation to the Medical Superintendent — and document the actions taken.</w:t>
      </w:r>
    </w:p>
    <w:p>
      <w:pPr>
        <w:pStyle w:val="Heading2"/>
        <w:spacing w:after="100" w:before="250"/>
      </w:pPr>
      <w:r>
        <w:t xml:space="preserve">4.3 Issuing the discharge or death summary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Give a discharge summary to every patient leaving the organisation — including those leaving against medical advice.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 case of death, give a death summary to the next of kin or relatives, and obtain acknowledgement.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Retain a copy of every discharge or death summary in the medical record.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1–5 and 9–13 of the AAC.12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the Established Discharge Process (HCO/AAC/POL/12) — AAC.12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Writing and Issuing the Discharge Summary (AAC.13)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Leaving Against Medical Advice (LAMA)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2026-09-14T10:02:20.372Z</dcterms:created>
  <dcterms:modified xsi:type="dcterms:W3CDTF">2026-09-14T10:02:20.372Z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