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Writing and Issuing the Discharge Summary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AAC.13.a through AAC.13.e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exactly what «Hospital Name»'s discharge summary must contain, and how to write instructions the patient can actually understand and act on.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treating doctor or doctor member of a treating team who prepares and signs a discharge or death summary.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Treating Doctor: </w:t>
      </w:r>
      <w:r>
        <w:t xml:space="preserve">prepares, signs, and personally explains the summary to the patient or family.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pStyle w:val="Heading2"/>
        <w:spacing w:after="100" w:before="250"/>
      </w:pPr>
      <w:r>
        <w:t xml:space="preserve">4.1 Provision and acknowledgement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Provide the discharge summary to the patient at the time of discharge, signed by the treating doctor or a doctor member of the treating team.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Obtain and record the patient's or family's acknowledgement of receipt, with name and date.</w:t>
      </w:r>
    </w:p>
    <w:p>
      <w:pPr>
        <w:pStyle w:val="Heading2"/>
        <w:spacing w:after="100" w:before="250"/>
      </w:pPr>
      <w:r>
        <w:t xml:space="preserve">4.2 Standardised content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Use the current standardised template — every summary includes, at minimum: patient's name, unique identification number, treating doctor's name, admission and discharge dates, reason for admission, significant findings, diagnosis, and treatment given.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If any standard field does not apply to this patient, record the reason it is not applicable rather than leaving it blank.</w:t>
      </w:r>
    </w:p>
    <w:p>
      <w:pPr>
        <w:pStyle w:val="Heading2"/>
        <w:spacing w:after="100" w:before="250"/>
      </w:pPr>
      <w:r>
        <w:t xml:space="preserve">4.3 Follow-up and medication instructions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Write medication frequency in plain words the patient can understand — never use abbreviations such as BD, TID, or QID.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Include equipment and wound-care instructions where applicable.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Explain every instruction to the patient and/or relatives in a language and manner they understand — do not just hand over the paper. Confirm real understanding using the teach-back method (ask the patient to repeat the instruction in their own words) rather than only asking "do you understand?" — see Section 8, Reference 1.</w:t>
      </w:r>
    </w:p>
    <w:p>
      <w:pPr>
        <w:pStyle w:val="Heading2"/>
        <w:spacing w:after="100" w:before="250"/>
      </w:pPr>
      <w:r>
        <w:t xml:space="preserve">4.4 Urgent-care instructions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Write urgent-care instructions specific to this patient's diagnosis and condition at discharge — not a generic statement.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Include the hospital or doctor contact number for urgent queries.</w:t>
      </w:r>
    </w:p>
    <w:p>
      <w:pPr>
        <w:pStyle w:val="Heading2"/>
        <w:spacing w:after="100" w:before="250"/>
      </w:pPr>
      <w:r>
        <w:t xml:space="preserve">4.5 Death summary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State the cause of death clearly in the death summary.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Where the cause of death is unclear — including medico-legal cases — arrange and document a post-mortem.</w:t>
      </w:r>
    </w:p>
    <w:p>
      <w:pPr>
        <w:pStyle w:val="Heading1"/>
        <w:spacing w:after="150" w:before="300"/>
      </w:pPr>
      <w:r>
        <w:t xml:space="preserve">5. Records</w:t>
      </w:r>
    </w:p>
    <w:p>
      <w:pPr>
        <w:spacing w:after="150"/>
      </w:pPr>
      <w:r>
        <w:t xml:space="preserve">Supported by all 10 records in the AAC.13 Required Records pack.</w:t>
      </w:r>
    </w:p>
    <w:p>
      <w:pPr>
        <w:pStyle w:val="Heading1"/>
        <w:spacing w:after="150" w:before="300"/>
      </w:pPr>
      <w: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the Content of the Discharge Summary (HCO/AAC/POL/13) — AAC.13 policy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SOP — Patient Discharge Planning, Coordination and Summary Issuance (AAC.12)</w:t>
      </w:r>
    </w:p>
    <w:p>
      <w:pPr>
        <w:pStyle w:val="Heading1"/>
        <w:spacing w:after="150" w:before="300"/>
      </w:pPr>
      <w:r>
        <w:t xml:space="preserve">7. Review</w:t>
      </w:r>
    </w:p>
    <w:p>
      <w:pPr>
        <w:spacing w:after="150"/>
      </w:pPr>
      <w:r>
        <w:t xml:space="preserve">Reviewed annually.</w:t>
      </w:r>
    </w:p>
    <w:p>
      <w:pPr>
        <w:pStyle w:val="Heading1"/>
        <w:spacing w:after="150" w:before="300"/>
      </w:pPr>
      <w:r>
        <w:t xml:space="preserve">8.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Agency for Healthcare Research and Quality. (2020). Health literacy universal precautions toolkit (3rd ed.) — Tool 5: Use the teach-back method. </w:t>
      </w:r>
      <w:hyperlink r:id="rId8">
        <w:r>
          <w:rPr>
            <w:color w:val="0563C1"/>
            <w:u w:val="single"/>
          </w:rPr>
          <w:t>https://www.ahrq.gov/health-literacy/improve/precautions/toolkit.html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www.ahrq.gov/health-literacy/improve/precautions/toolkit.html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2026-09-14T11:35:19.455Z</dcterms:created>
  <dcterms:modified xsi:type="dcterms:W3CDTF">2026-09-14T11:35:19.455Z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