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AAC.2.e — Access prioritised according to clinical needs</w:t>
      </w:r>
    </w:p>
    <w:p>
      <w:pPr>
        <w:spacing w:after="120"/>
      </w:pPr>
      <w:r>
        <w:rPr>
          <w:b/>
          <w:bCs/>
          <w:sz w:val="28"/>
          <w:szCs w:val="28"/>
        </w:rPr>
        <w:t>AAC.2 Record 14 — Clinical Priority Guidelines Reference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Tracks which written-guidance document covers each clinical-priority element and when it was last reviewed — this is not a log of individual priority patients.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Guideline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Chest-pain priority criteria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TRIAGE-SOP-02, v1.1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2026-09-14T10:31:47.479Z</dcterms:created>
  <dcterms:modified xsi:type="dcterms:W3CDTF">2026-09-14T10:31:47.479Z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