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Patient Registration, Identification and Admission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AAC.2.a, AAC.2.b, AAC.2.c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registers every assessed patient (including unidentified patients), assigns a unique identification number at the end of registration, and decides admission or acceptance only when the required service can be provided — without ever delaying emergency life-saving treatment for that decision.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registration and admission point: front office, OPD registration, emergency, day-care, and in-patient admission desks.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Registration / Front Office Staff: </w:t>
      </w:r>
      <w:r>
        <w:t xml:space="preserve">register every assessed patient and verify identity.</w:t>
      </w:r>
    </w:p>
    <w:p>
      <w:pPr>
        <w:spacing w:after="100"/>
      </w:pPr>
      <w:r>
        <w:rPr>
          <w:b/>
          <w:bCs/>
        </w:rPr>
        <w:t xml:space="preserve">Treating Doctor: </w:t>
      </w:r>
      <w:r>
        <w:t xml:space="preserve">authorises every admission and decides service-acceptance after any needed emergency stabilisation.</w:t>
      </w:r>
    </w:p>
    <w:p>
      <w:pPr>
        <w:spacing w:after="100"/>
      </w:pPr>
      <w:r>
        <w:rPr>
          <w:b/>
          <w:bCs/>
        </w:rPr>
        <w:t xml:space="preserve">Medical Records: </w:t>
      </w:r>
      <w:r>
        <w:t xml:space="preserve">maintains the unique-number master index and checks for duplicates.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Registering a patient, including unidentified patients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Verify identity using government photo ID where available, or two identifiers stated by the patient or accompanying person. This two-identifier check follows The Joint Commission's National Patient Safety Goal on patient identification — see Section 8, Reference 1.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For an unidentified patient (e.g. found unconscious, no ID), register using the unidentified-patient process: assign a temporary descriptive identifier (e.g. "Unknown Male, approx. 40 yrs, brought by police") and update to the real identity as soon as it becomes known, cross-referencing the unique number already issued.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Obtain general consent for treatment at the point of entry, and explain its scope to the patient or family before proceeding.</w:t>
      </w:r>
    </w:p>
    <w:p>
      <w:pPr>
        <w:pStyle w:val="Heading2"/>
        <w:spacing w:after="100" w:before="250"/>
      </w:pPr>
      <w:r>
        <w:t xml:space="preserve">4.2 Assigning the unique identification number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At the end of the patient's first-ever registration with the hospital, generate one unique identification number. Never assign a second unique number to a patient who already has one — search the master index by name, date of birth, and other identifiers first.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For later visits, a visit/encounter number may be created in addition, but it must be linked to the existing unique number, not replace it.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Medical Records runs a duplicate-number check periodically and logs the result, per the Duplicate-Number Audit Log.</w:t>
      </w:r>
    </w:p>
    <w:p>
      <w:pPr>
        <w:pStyle w:val="Heading2"/>
        <w:spacing w:after="100" w:before="250"/>
      </w:pPr>
      <w:r>
        <w:t xml:space="preserve">4.3 Deciding acceptance — and never delaying emergency care for it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Check the current service directory to confirm the hospital can provide the required service before accepting a non-emergency patient.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For an emergency presentation, begin life-saving treatment immediately — the acceptance decision is made only after the patient is stabilised, never before.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If, after stabilisation, the hospital cannot continue care, arrange safe transfer per the hospital's Patient Transfer and Referral SOP.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If a non-emergency patient is not accepted, log the presentation, the reason, and the advice or referral given in the Non-Accepted Presentation Log.</w:t>
      </w:r>
    </w:p>
    <w:p>
      <w:pPr>
        <w:pStyle w:val="Heading1"/>
        <w:spacing w:after="150" w:before="300"/>
      </w:pPr>
      <w:r>
        <w:t xml:space="preserve">5. Records</w:t>
      </w:r>
    </w:p>
    <w:p>
      <w:pPr>
        <w:spacing w:after="150"/>
      </w:pPr>
      <w:r>
        <w:t xml:space="preserve">This SOP is supported by Records 1–9 of the AAC.2 Required Records pack: the Registration &amp; Admission Guidance Log, Sample Registration &amp; Consent Audit, Admission Authorisation Audit, Unique Number Master Index, Cross-Department Unique Number Trace, Duplicate-Number Audit Log, Non-Accepted Presentation Log, Emergency Stabilisation-Before-Acceptance Audit, and Service Directory Availability Log.</w:t>
      </w:r>
    </w:p>
    <w:p>
      <w:pPr>
        <w:pStyle w:val="Heading1"/>
        <w:spacing w:after="150" w:before="300"/>
      </w:pPr>
      <w: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Registration and Admission (HCO/AAC/POL/02) — AAC.2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AAC.1 Required Records — Service Directory (Record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Patient Transfer (In, Out) and Referral</w:t>
      </w:r>
    </w:p>
    <w:p>
      <w:pPr>
        <w:pStyle w:val="Heading1"/>
        <w:spacing w:after="150" w:before="300"/>
      </w:pPr>
      <w:r>
        <w:t xml:space="preserve">7. Review</w:t>
      </w:r>
    </w:p>
    <w:p>
      <w:pPr>
        <w:spacing w:after="150"/>
      </w:pPr>
      <w:r>
        <w:t xml:space="preserve">Reviewed annually, or sooner if the registration system or service directory changes.</w:t>
      </w:r>
    </w:p>
    <w:p>
      <w:pPr>
        <w:pStyle w:val="Heading1"/>
        <w:spacing w:after="150" w:before="300"/>
      </w:pPr>
      <w:r>
        <w:t xml:space="preserve">8.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Joint Commission. (2026). National Patient Safety Goals: Identify patients correctly (Goal NPSG.01.01.01). </w:t>
      </w:r>
      <w:hyperlink r:id="rId8">
        <w:r>
          <w:rPr>
            <w:color w:val="0563C1"/>
            <w:u w:val="single"/>
          </w:rPr>
          <w:t>https://www.jointcommission.org/en-us/standards/national-patient-safety-goals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jointcommission.org/en-us/standards/national-patient-safety-goal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2026-09-14T11:33:07.811Z</dcterms:created>
  <dcterms:modified xsi:type="dcterms:W3CDTF">2026-09-14T11:33:07.811Z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