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AAC.6.j — Outsourced laboratory tests</w:t>
      </w:r>
    </w:p>
    <w:p>
      <w:pPr>
        <w:spacing w:after="120"/>
      </w:pPr>
      <w:r>
        <w:rPr>
          <w:b/>
          <w:bCs/>
          <w:sz w:val="28"/>
          <w:szCs w:val="28"/>
        </w:rPr>
        <w:t>AAC.6 Record 28 — Outsourcing Guidance Reference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which written-guidance document covers each outsourcing element and when it was last reviewed — this is not a log of individual outsourced tests.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Packaging &amp; labelling for outsourced specimens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OUT-SOP-01, v1.1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2026-09-14T10:31:49.084Z</dcterms:created>
  <dcterms:modified xsi:type="dcterms:W3CDTF">2026-09-14T10:31:49.084Z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