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Standard Operating Procedure</w:t>
      </w:r>
    </w:p>
    <w:p>
      <w:pPr>
        <w:spacing w:after="60"/>
      </w:pPr>
      <w:r>
        <w:rPr>
          <w:b/>
          <w:bCs/>
          <w:color w:val="444444"/>
          <w:sz w:val="26"/>
          <w:szCs w:val="26"/>
        </w:rPr>
        <w:t xml:space="preserve">Laboratory Report Recall and Amendment</w:t>
      </w:r>
    </w:p>
    <w:p>
      <w:pPr>
        <w:spacing w:after="250"/>
      </w:pPr>
      <w:r>
        <w:rPr>
          <w:i/>
          <w:iCs/>
          <w:color w:val="666666"/>
        </w:rPr>
        <w:t xml:space="preserve">«Hospital Name» — Supports AAC.6.i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SOP No.</w:t>
            </w:r>
          </w:p>
        </w:tc>
        <w:tc>
          <w:tcPr>
            <w:tcW w:type="dxa" w:w="2340"/>
            <w:gridSpan w:val="1"/>
          </w:tcPr>
          <w:p>
            <w:r>
              <w:t xml:space="preserve">[Hospital to define]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2340"/>
            <w:gridSpan w:val="1"/>
          </w:tcPr>
          <w:p>
            <w:r>
              <w:t xml:space="preserve">1.0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Effective Date</w:t>
            </w:r>
          </w:p>
        </w:tc>
        <w:tc>
          <w:tcPr>
            <w:tcW w:type="dxa" w:w="2340"/>
            <w:gridSpan w:val="1"/>
          </w:tcPr>
          <w:p>
            <w:r>
              <w:t xml:space="preserve">________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Review Frequency</w:t>
            </w:r>
          </w:p>
        </w:tc>
        <w:tc>
          <w:tcPr>
            <w:tcW w:type="dxa" w:w="2340"/>
            <w:gridSpan w:val="1"/>
          </w:tcPr>
          <w:p>
            <w:r>
              <w:t xml:space="preserve">Annual, or on change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Prepared By</w:t>
            </w:r>
          </w:p>
        </w:tc>
        <w:tc>
          <w:tcPr>
            <w:tcW w:type="dxa" w:w="7020"/>
            <w:gridSpan w:val="3"/>
          </w:tcPr>
          <w:p>
            <w:r>
              <w:t xml:space="preserve">Quality Coordinator   Name: ________   Signature: ________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Approved By</w:t>
            </w:r>
          </w:p>
        </w:tc>
        <w:tc>
          <w:tcPr>
            <w:tcW w:type="dxa" w:w="7020"/>
            <w:gridSpan w:val="3"/>
          </w:tcPr>
          <w:p>
            <w:r>
              <w:t xml:space="preserve">Medical Superintendent   Name: ________   Signature: ________</w:t>
            </w:r>
          </w:p>
        </w:tc>
      </w:tr>
    </w:tbl>
    <w:p>
      <w:pPr>
        <w:spacing w:after="250"/>
      </w:pPr>
    </w:p>
    <w:p>
      <w:pPr>
        <w:pStyle w:val="Heading1"/>
        <w:spacing w:after="150" w:before="300"/>
      </w:pPr>
      <w:r>
        <w:t xml:space="preserve">1. Purpose</w:t>
      </w:r>
    </w:p>
    <w:p>
      <w:pPr>
        <w:spacing w:after="150"/>
      </w:pPr>
      <w:r>
        <w:t xml:space="preserve">This SOP describes how «Hospital Name» recalls or amends a laboratory report, ensuring no incorrect report remains in use anywhere in the hospital.</w:t>
      </w:r>
    </w:p>
    <w:p>
      <w:pPr>
        <w:pStyle w:val="Heading1"/>
        <w:spacing w:after="150" w:before="300"/>
      </w:pPr>
      <w:r>
        <w:t xml:space="preserve">2. Scope</w:t>
      </w:r>
    </w:p>
    <w:p>
      <w:pPr>
        <w:spacing w:after="150"/>
      </w:pPr>
      <w:r>
        <w:t xml:space="preserve">Applies to any laboratory report found to be incorrect after issue, whether generated in-house or outsourced.</w:t>
      </w:r>
    </w:p>
    <w:p>
      <w:pPr>
        <w:pStyle w:val="Heading1"/>
        <w:spacing w:after="150" w:before="300"/>
      </w:pPr>
      <w:r>
        <w:t xml:space="preserve">3. Responsibility</w:t>
      </w:r>
    </w:p>
    <w:p>
      <w:pPr>
        <w:spacing w:after="100"/>
      </w:pPr>
      <w:r>
        <w:rPr>
          <w:b/>
          <w:bCs/>
        </w:rPr>
        <w:t xml:space="preserve">Laboratory In-Charge: </w:t>
      </w:r>
      <w:r>
        <w:t xml:space="preserve">authorises every recall and confirms full withdrawal before closing the case.</w:t>
      </w:r>
    </w:p>
    <w:p>
      <w:pPr>
        <w:pStyle w:val="Heading1"/>
        <w:spacing w:after="150" w:before="300"/>
      </w:pPr>
      <w:r>
        <w:t xml:space="preserve">4. Procedure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The moment an incorrect report is identified, log it in the Recall / Amendment Log with the reason.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Withdraw the recalled report from every location it could exist — clinical areas, the medical record, the LIS, and the HIS. Do not leave a superseded copy findable anywhere.</w:t>
      </w:r>
    </w:p>
    <w:p>
      <w:pPr>
        <w:spacing w:after="120"/>
      </w:pPr>
      <w:r>
        <w:rPr>
          <w:b/>
          <w:bCs/>
        </w:rPr>
        <w:t xml:space="preserve">3. </w:t>
      </w:r>
      <w:r>
        <w:t xml:space="preserve">Issue the amended report with a clear notice that it supersedes the earlier version, where the earlier report was already given to the patient or clinical team.</w:t>
      </w:r>
    </w:p>
    <w:p>
      <w:pPr>
        <w:spacing w:after="120"/>
      </w:pPr>
      <w:r>
        <w:rPr>
          <w:b/>
          <w:bCs/>
        </w:rPr>
        <w:t xml:space="preserve">4. </w:t>
      </w:r>
      <w:r>
        <w:t xml:space="preserve">Open a CAPA record for the root cause of the error and track it to closure.</w:t>
      </w:r>
    </w:p>
    <w:p>
      <w:pPr>
        <w:pStyle w:val="Heading1"/>
        <w:spacing w:after="150" w:before="300"/>
      </w:pPr>
      <w:r>
        <w:t xml:space="preserve">5. Records</w:t>
      </w:r>
    </w:p>
    <w:p>
      <w:pPr>
        <w:spacing w:after="150"/>
      </w:pPr>
      <w:r>
        <w:t xml:space="preserve">Supported by Records 25–27 of the AAC.6 Required Records pack.</w:t>
      </w:r>
    </w:p>
    <w:p>
      <w:pPr>
        <w:pStyle w:val="Heading1"/>
        <w:spacing w:after="150" w:before="300"/>
      </w:pPr>
      <w:r>
        <w:t xml:space="preserve">6. Related Documents</w:t>
      </w:r>
    </w:p>
    <w:p>
      <w:pPr>
        <w:pStyle w:val="ListParagraph"/>
        <w:numPr>
          <w:ilvl w:val="0"/>
          <w:numId w:val="1"/>
        </w:numPr>
        <w:spacing w:after="80"/>
      </w:pPr>
      <w:r>
        <w:t>Policy on Laboratory Services (HCO/AAC/POL/06) — AAC.6 policy</w:t>
      </w:r>
    </w:p>
    <w:p>
      <w:pPr>
        <w:pStyle w:val="Heading1"/>
        <w:spacing w:after="150" w:before="300"/>
      </w:pPr>
      <w:r>
        <w:t xml:space="preserve">7. Review</w:t>
      </w:r>
    </w:p>
    <w:p>
      <w:pPr>
        <w:spacing w:after="150"/>
      </w:pPr>
      <w:r>
        <w:t xml:space="preserve">Reviewed annually, or sooner after a recurring recall pattern.</w:t>
      </w:r>
    </w:p>
    <w:p>
      <w:pPr>
        <w:pStyle w:val="Heading1"/>
        <w:spacing w:after="150" w:before="300"/>
      </w:pPr>
      <w:r>
        <w:t xml:space="preserve">8. References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College of American Pathologists. (n.d.). Laboratory Accreditation Program requirements for corrected/amended reports. </w:t>
      </w:r>
      <w:hyperlink r:id="rId8">
        <w:r>
          <w:rPr>
            <w:color w:val="0563C1"/>
            <w:u w:val="single"/>
          </w:rPr>
          <w:t>https://www.cap.org/laboratory-improvement/accreditation/laboratory-accreditation-program</w:t>
        </w:r>
      </w:hyperlink>
      <w:r>
        <w:rPr>
          <w:i/>
        </w:rPr>
        <w:t xml:space="preserve"> (Official page; full standard text requires purchase or subscription.)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yperlink" Target="https://www.cap.org/laboratory-improvement/accreditation/laboratory-accreditation-program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2026-09-14T11:33:57.262Z</dcterms:created>
  <dcterms:modified xsi:type="dcterms:W3CDTF">2026-09-14T11:33:57.262Z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